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025E" w:rsidRDefault="00CF025E" w:rsidP="00CF025E">
      <w:pPr>
        <w:suppressLineNumbers/>
        <w:rPr>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CF025E" w:rsidTr="00E1137C">
        <w:trPr>
          <w:jc w:val="center"/>
        </w:trPr>
        <w:tc>
          <w:tcPr>
            <w:tcW w:w="743" w:type="dxa"/>
          </w:tcPr>
          <w:p w:rsidR="00CF025E" w:rsidRPr="00DD05A8" w:rsidRDefault="00CF025E" w:rsidP="00E1137C">
            <w:pPr>
              <w:suppressLineNumbers/>
              <w:jc w:val="both"/>
              <w:rPr>
                <w:rFonts w:ascii="Arial" w:hAnsi="Arial"/>
                <w:b/>
                <w:bCs/>
                <w:sz w:val="26"/>
                <w:szCs w:val="26"/>
                <w:rtl/>
              </w:rPr>
            </w:pPr>
            <w:r>
              <w:rPr>
                <w:rFonts w:ascii="Arial" w:hAnsi="Arial" w:hint="cs"/>
                <w:b/>
                <w:bCs/>
                <w:sz w:val="26"/>
                <w:szCs w:val="26"/>
                <w:rtl/>
              </w:rPr>
              <w:t>ל</w:t>
            </w:r>
            <w:r w:rsidRPr="00DD05A8">
              <w:rPr>
                <w:rFonts w:ascii="Arial" w:hAnsi="Arial"/>
                <w:b/>
                <w:bCs/>
                <w:sz w:val="26"/>
                <w:szCs w:val="26"/>
                <w:rtl/>
              </w:rPr>
              <w:t xml:space="preserve">פני </w:t>
            </w:r>
          </w:p>
        </w:tc>
        <w:tc>
          <w:tcPr>
            <w:tcW w:w="8077" w:type="dxa"/>
            <w:gridSpan w:val="2"/>
          </w:tcPr>
          <w:p w:rsidR="00CF025E" w:rsidRPr="00DD05A8" w:rsidRDefault="00CF025E" w:rsidP="00E1137C">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414602899"/>
                <w:text w:multiLine="1"/>
              </w:sdtPr>
              <w:sdtContent>
                <w:r>
                  <w:rPr>
                    <w:rFonts w:ascii="Arial" w:hAnsi="Arial"/>
                    <w:b/>
                    <w:bCs/>
                    <w:sz w:val="26"/>
                    <w:szCs w:val="26"/>
                    <w:rtl/>
                  </w:rPr>
                  <w:t>שופטת, סגנית הנשיאה</w:t>
                </w:r>
              </w:sdtContent>
            </w:sdt>
            <w:r w:rsidRPr="00DD05A8">
              <w:rPr>
                <w:rFonts w:ascii="Arial" w:hAnsi="Arial" w:hint="cs"/>
                <w:b/>
                <w:bCs/>
                <w:sz w:val="26"/>
                <w:szCs w:val="26"/>
                <w:rtl/>
              </w:rPr>
              <w:t xml:space="preserve"> </w:t>
            </w:r>
            <w:r>
              <w:rPr>
                <w:rFonts w:ascii="Arial" w:hAnsi="Arial" w:hint="cs"/>
                <w:b/>
                <w:bCs/>
                <w:sz w:val="26"/>
                <w:szCs w:val="26"/>
                <w:rtl/>
              </w:rPr>
              <w:t xml:space="preserve">ו. </w:t>
            </w:r>
            <w:sdt>
              <w:sdtPr>
                <w:rPr>
                  <w:sz w:val="26"/>
                  <w:szCs w:val="26"/>
                  <w:rtl/>
                </w:rPr>
                <w:alias w:val="1573"/>
                <w:tag w:val="1573"/>
                <w:id w:val="-1751030614"/>
                <w:text w:multiLine="1"/>
              </w:sdtPr>
              <w:sdtContent>
                <w:r>
                  <w:rPr>
                    <w:rFonts w:ascii="Arial" w:hAnsi="Arial"/>
                    <w:b/>
                    <w:bCs/>
                    <w:sz w:val="26"/>
                    <w:szCs w:val="26"/>
                    <w:rtl/>
                  </w:rPr>
                  <w:t>פלאוט</w:t>
                </w:r>
                <w:r>
                  <w:rPr>
                    <w:rFonts w:ascii="Arial" w:hAnsi="Arial" w:hint="cs"/>
                    <w:b/>
                    <w:bCs/>
                    <w:sz w:val="26"/>
                    <w:szCs w:val="26"/>
                    <w:rtl/>
                  </w:rPr>
                  <w:t>, אב"ד</w:t>
                </w:r>
              </w:sdtContent>
            </w:sdt>
          </w:p>
          <w:p w:rsidR="00CF025E" w:rsidRPr="00DD05A8" w:rsidRDefault="00CF025E" w:rsidP="00E1137C">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1046348262"/>
                <w:text w:multiLine="1"/>
              </w:sdtPr>
              <w:sdtContent>
                <w:r>
                  <w:rPr>
                    <w:rFonts w:ascii="Arial" w:hAnsi="Arial"/>
                    <w:b/>
                    <w:bCs/>
                    <w:sz w:val="26"/>
                    <w:szCs w:val="26"/>
                    <w:rtl/>
                  </w:rPr>
                  <w:t>שופט</w:t>
                </w:r>
              </w:sdtContent>
            </w:sdt>
            <w:r w:rsidRPr="00DD05A8">
              <w:rPr>
                <w:rFonts w:ascii="Arial" w:hAnsi="Arial" w:hint="cs"/>
                <w:b/>
                <w:bCs/>
                <w:sz w:val="26"/>
                <w:szCs w:val="26"/>
                <w:rtl/>
              </w:rPr>
              <w:t xml:space="preserve"> </w:t>
            </w:r>
            <w:r>
              <w:rPr>
                <w:rFonts w:ascii="Arial" w:hAnsi="Arial" w:hint="cs"/>
                <w:b/>
                <w:bCs/>
                <w:sz w:val="26"/>
                <w:szCs w:val="26"/>
                <w:rtl/>
              </w:rPr>
              <w:t xml:space="preserve">צ. </w:t>
            </w:r>
            <w:sdt>
              <w:sdtPr>
                <w:rPr>
                  <w:sz w:val="26"/>
                  <w:szCs w:val="26"/>
                  <w:rtl/>
                </w:rPr>
                <w:alias w:val="1573"/>
                <w:tag w:val="1573"/>
                <w:id w:val="638464606"/>
                <w:text w:multiLine="1"/>
              </w:sdtPr>
              <w:sdtContent>
                <w:r>
                  <w:rPr>
                    <w:rFonts w:ascii="Arial" w:hAnsi="Arial"/>
                    <w:b/>
                    <w:bCs/>
                    <w:sz w:val="26"/>
                    <w:szCs w:val="26"/>
                    <w:rtl/>
                  </w:rPr>
                  <w:t>ויצמן</w:t>
                </w:r>
              </w:sdtContent>
            </w:sdt>
          </w:p>
          <w:p w:rsidR="00CF025E" w:rsidRPr="00DD05A8" w:rsidRDefault="00CF025E" w:rsidP="00E1137C">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593757816"/>
                <w:text w:multiLine="1"/>
              </w:sdtPr>
              <w:sdtContent>
                <w:r>
                  <w:rPr>
                    <w:rFonts w:ascii="Arial" w:hAnsi="Arial"/>
                    <w:b/>
                    <w:bCs/>
                    <w:sz w:val="26"/>
                    <w:szCs w:val="26"/>
                    <w:rtl/>
                  </w:rPr>
                  <w:t>שופטת</w:t>
                </w:r>
              </w:sdtContent>
            </w:sdt>
            <w:r w:rsidRPr="00DD05A8">
              <w:rPr>
                <w:rFonts w:ascii="Arial" w:hAnsi="Arial" w:hint="cs"/>
                <w:b/>
                <w:bCs/>
                <w:sz w:val="26"/>
                <w:szCs w:val="26"/>
                <w:rtl/>
              </w:rPr>
              <w:t xml:space="preserve"> </w:t>
            </w:r>
            <w:r>
              <w:rPr>
                <w:rFonts w:ascii="Arial" w:hAnsi="Arial" w:hint="cs"/>
                <w:b/>
                <w:bCs/>
                <w:sz w:val="26"/>
                <w:szCs w:val="26"/>
                <w:rtl/>
              </w:rPr>
              <w:t xml:space="preserve">צ. </w:t>
            </w:r>
            <w:sdt>
              <w:sdtPr>
                <w:rPr>
                  <w:sz w:val="26"/>
                  <w:szCs w:val="26"/>
                  <w:rtl/>
                </w:rPr>
                <w:alias w:val="1573"/>
                <w:tag w:val="1573"/>
                <w:id w:val="2136371162"/>
                <w:text w:multiLine="1"/>
              </w:sdtPr>
              <w:sdtContent>
                <w:r>
                  <w:rPr>
                    <w:rFonts w:ascii="Arial" w:hAnsi="Arial"/>
                    <w:b/>
                    <w:bCs/>
                    <w:sz w:val="26"/>
                    <w:szCs w:val="26"/>
                    <w:rtl/>
                  </w:rPr>
                  <w:t>גרדשטיין פפקין</w:t>
                </w:r>
              </w:sdtContent>
            </w:sdt>
          </w:p>
          <w:p w:rsidR="00CF025E" w:rsidRPr="00DD05A8" w:rsidRDefault="00CF025E" w:rsidP="00E1137C">
            <w:pPr>
              <w:suppressLineNumbers/>
              <w:rPr>
                <w:rFonts w:ascii="Arial" w:hAnsi="Arial" w:cs="FrankRuehl"/>
                <w:sz w:val="26"/>
                <w:szCs w:val="26"/>
                <w:highlight w:val="yellow"/>
              </w:rPr>
            </w:pPr>
          </w:p>
        </w:tc>
      </w:tr>
      <w:tr w:rsidR="00CF025E" w:rsidTr="00E1137C">
        <w:trPr>
          <w:jc w:val="center"/>
        </w:trPr>
        <w:tc>
          <w:tcPr>
            <w:tcW w:w="3249" w:type="dxa"/>
            <w:gridSpan w:val="2"/>
          </w:tcPr>
          <w:p w:rsidR="00CF025E" w:rsidRPr="000D782D" w:rsidRDefault="00CF025E" w:rsidP="00E1137C">
            <w:pPr>
              <w:suppressLineNumbers/>
              <w:rPr>
                <w:rFonts w:ascii="Narkisim" w:hAnsi="Narkisim" w:cs="Narkisim"/>
                <w:noProof w:val="0"/>
                <w:sz w:val="28"/>
                <w:szCs w:val="28"/>
              </w:rPr>
            </w:pPr>
          </w:p>
          <w:sdt>
            <w:sdtPr>
              <w:rPr>
                <w:rFonts w:ascii="Narkisim" w:hAnsi="Narkisim" w:cs="Narkisim"/>
                <w:sz w:val="28"/>
                <w:szCs w:val="28"/>
                <w:rtl/>
              </w:rPr>
              <w:alias w:val="1180"/>
              <w:tag w:val="1180"/>
              <w:id w:val="637458750"/>
              <w:text w:multiLine="1"/>
            </w:sdtPr>
            <w:sdtContent>
              <w:p w:rsidR="00CF025E" w:rsidRPr="000D782D" w:rsidRDefault="00CF025E" w:rsidP="00E1137C">
                <w:pPr>
                  <w:suppressLineNumbers/>
                  <w:rPr>
                    <w:rFonts w:ascii="Narkisim" w:hAnsi="Narkisim" w:cs="Narkisim"/>
                    <w:noProof w:val="0"/>
                    <w:sz w:val="28"/>
                    <w:szCs w:val="28"/>
                    <w:rtl/>
                  </w:rPr>
                </w:pPr>
                <w:r w:rsidRPr="000D782D">
                  <w:rPr>
                    <w:rFonts w:ascii="Narkisim" w:hAnsi="Narkisim" w:cs="Narkisim"/>
                    <w:noProof w:val="0"/>
                    <w:sz w:val="28"/>
                    <w:szCs w:val="28"/>
                    <w:rtl/>
                  </w:rPr>
                  <w:t>מערער</w:t>
                </w:r>
              </w:p>
            </w:sdtContent>
          </w:sdt>
        </w:tc>
        <w:tc>
          <w:tcPr>
            <w:tcW w:w="5571" w:type="dxa"/>
          </w:tcPr>
          <w:p w:rsidR="00CF025E" w:rsidRPr="000D782D" w:rsidRDefault="00CF025E" w:rsidP="00E1137C">
            <w:pPr>
              <w:suppressLineNumbers/>
              <w:rPr>
                <w:rFonts w:ascii="Narkisim" w:hAnsi="Narkisim" w:cs="Narkisim"/>
                <w:noProof w:val="0"/>
                <w:sz w:val="28"/>
                <w:szCs w:val="28"/>
                <w:rtl/>
              </w:rPr>
            </w:pPr>
          </w:p>
          <w:p w:rsidR="00CF025E" w:rsidRPr="000D782D" w:rsidRDefault="00CF025E" w:rsidP="00E1137C">
            <w:pPr>
              <w:suppressLineNumbers/>
              <w:rPr>
                <w:rFonts w:ascii="Narkisim" w:hAnsi="Narkisim" w:cs="Narkisim"/>
                <w:noProof w:val="0"/>
                <w:sz w:val="28"/>
                <w:szCs w:val="28"/>
              </w:rPr>
            </w:pPr>
            <w:r w:rsidRPr="000D782D">
              <w:rPr>
                <w:rFonts w:ascii="Narkisim" w:hAnsi="Narkisim" w:cs="Narkisim"/>
                <w:noProof w:val="0"/>
                <w:sz w:val="28"/>
                <w:szCs w:val="28"/>
                <w:rtl/>
              </w:rPr>
              <w:t xml:space="preserve"> </w:t>
            </w:r>
            <w:sdt>
              <w:sdtPr>
                <w:rPr>
                  <w:rFonts w:ascii="Narkisim" w:hAnsi="Narkisim" w:cs="Narkisim"/>
                  <w:noProof w:val="0"/>
                  <w:sz w:val="28"/>
                  <w:szCs w:val="28"/>
                  <w:rtl/>
                </w:rPr>
                <w:alias w:val="3151"/>
                <w:tag w:val="3151"/>
                <w:id w:val="1398553265"/>
                <w:placeholder>
                  <w:docPart w:val="C510ED5805404A92972A946DCF6A3DAD"/>
                </w:placeholder>
                <w:text w:multiLine="1"/>
              </w:sdtPr>
              <w:sdtContent>
                <w:r w:rsidRPr="000D782D">
                  <w:rPr>
                    <w:rFonts w:ascii="Narkisim" w:hAnsi="Narkisim" w:cs="Narkisim"/>
                    <w:noProof w:val="0"/>
                    <w:sz w:val="28"/>
                    <w:szCs w:val="28"/>
                    <w:rtl/>
                  </w:rPr>
                  <w:t xml:space="preserve">מ. פ. </w:t>
                </w:r>
              </w:sdtContent>
            </w:sdt>
            <w:r w:rsidRPr="000D782D">
              <w:rPr>
                <w:rFonts w:ascii="Narkisim" w:hAnsi="Narkisim" w:cs="Narkisim"/>
                <w:sz w:val="28"/>
                <w:szCs w:val="28"/>
                <w:rtl/>
              </w:rPr>
              <w:t xml:space="preserve"> </w:t>
            </w:r>
          </w:p>
        </w:tc>
      </w:tr>
      <w:tr w:rsidR="00CF025E" w:rsidTr="00E1137C">
        <w:trPr>
          <w:jc w:val="center"/>
        </w:trPr>
        <w:tc>
          <w:tcPr>
            <w:tcW w:w="8820" w:type="dxa"/>
            <w:gridSpan w:val="3"/>
          </w:tcPr>
          <w:p w:rsidR="00CF025E" w:rsidRPr="000D782D" w:rsidRDefault="00CF025E" w:rsidP="00E1137C">
            <w:pPr>
              <w:suppressLineNumbers/>
              <w:rPr>
                <w:rFonts w:ascii="Narkisim" w:hAnsi="Narkisim" w:cs="Narkisim"/>
                <w:noProof w:val="0"/>
                <w:sz w:val="28"/>
                <w:szCs w:val="28"/>
                <w:rtl/>
              </w:rPr>
            </w:pPr>
          </w:p>
          <w:p w:rsidR="00CF025E" w:rsidRPr="000D782D" w:rsidRDefault="00CF025E" w:rsidP="00E1137C">
            <w:pPr>
              <w:suppressLineNumbers/>
              <w:jc w:val="center"/>
              <w:rPr>
                <w:rFonts w:ascii="Narkisim" w:hAnsi="Narkisim" w:cs="Narkisim"/>
                <w:noProof w:val="0"/>
                <w:sz w:val="28"/>
                <w:szCs w:val="28"/>
                <w:rtl/>
              </w:rPr>
            </w:pPr>
            <w:r w:rsidRPr="000D782D">
              <w:rPr>
                <w:rFonts w:ascii="Narkisim" w:hAnsi="Narkisim" w:cs="Narkisim"/>
                <w:noProof w:val="0"/>
                <w:sz w:val="28"/>
                <w:szCs w:val="28"/>
                <w:rtl/>
              </w:rPr>
              <w:t>נגד</w:t>
            </w:r>
          </w:p>
          <w:p w:rsidR="00CF025E" w:rsidRPr="000D782D" w:rsidRDefault="00CF025E" w:rsidP="00E1137C">
            <w:pPr>
              <w:suppressLineNumbers/>
              <w:rPr>
                <w:rFonts w:ascii="Narkisim" w:hAnsi="Narkisim" w:cs="Narkisim"/>
                <w:noProof w:val="0"/>
                <w:sz w:val="28"/>
                <w:szCs w:val="28"/>
              </w:rPr>
            </w:pPr>
          </w:p>
        </w:tc>
      </w:tr>
      <w:tr w:rsidR="00CF025E" w:rsidTr="00E1137C">
        <w:trPr>
          <w:jc w:val="center"/>
        </w:trPr>
        <w:tc>
          <w:tcPr>
            <w:tcW w:w="3249" w:type="dxa"/>
            <w:gridSpan w:val="2"/>
          </w:tcPr>
          <w:p w:rsidR="00CF025E" w:rsidRPr="000D782D" w:rsidRDefault="00CF025E" w:rsidP="00E1137C">
            <w:pPr>
              <w:suppressLineNumbers/>
              <w:rPr>
                <w:rFonts w:ascii="Narkisim" w:hAnsi="Narkisim" w:cs="Narkisim"/>
                <w:noProof w:val="0"/>
                <w:sz w:val="28"/>
                <w:szCs w:val="28"/>
              </w:rPr>
            </w:pPr>
            <w:sdt>
              <w:sdtPr>
                <w:rPr>
                  <w:rFonts w:ascii="Narkisim" w:hAnsi="Narkisim" w:cs="Narkisim"/>
                  <w:sz w:val="28"/>
                  <w:szCs w:val="28"/>
                  <w:rtl/>
                </w:rPr>
                <w:alias w:val="1184"/>
                <w:tag w:val="1184"/>
                <w:id w:val="-340621022"/>
                <w:text w:multiLine="1"/>
              </w:sdtPr>
              <w:sdtContent>
                <w:r w:rsidRPr="000D782D">
                  <w:rPr>
                    <w:rFonts w:ascii="Narkisim" w:hAnsi="Narkisim" w:cs="Narkisim"/>
                    <w:noProof w:val="0"/>
                    <w:sz w:val="28"/>
                    <w:szCs w:val="28"/>
                    <w:rtl/>
                  </w:rPr>
                  <w:t>משיב</w:t>
                </w:r>
                <w:r w:rsidRPr="000D782D">
                  <w:rPr>
                    <w:rFonts w:ascii="Narkisim" w:hAnsi="Narkisim" w:cs="Narkisim"/>
                    <w:sz w:val="28"/>
                    <w:szCs w:val="28"/>
                    <w:rtl/>
                  </w:rPr>
                  <w:t>ה</w:t>
                </w:r>
              </w:sdtContent>
            </w:sdt>
          </w:p>
        </w:tc>
        <w:tc>
          <w:tcPr>
            <w:tcW w:w="5571" w:type="dxa"/>
          </w:tcPr>
          <w:p w:rsidR="00CF025E" w:rsidRPr="000D782D" w:rsidRDefault="00CF025E" w:rsidP="00E1137C">
            <w:pPr>
              <w:pStyle w:val="a4"/>
              <w:numPr>
                <w:ilvl w:val="0"/>
                <w:numId w:val="2"/>
              </w:numPr>
              <w:suppressLineNumbers/>
              <w:rPr>
                <w:rFonts w:ascii="Narkisim" w:hAnsi="Narkisim" w:cs="Narkisim"/>
                <w:sz w:val="28"/>
                <w:szCs w:val="28"/>
                <w:rtl/>
              </w:rPr>
            </w:pPr>
            <w:r w:rsidRPr="000D782D">
              <w:rPr>
                <w:rFonts w:ascii="Narkisim" w:hAnsi="Narkisim" w:cs="Narkisim"/>
                <w:noProof w:val="0"/>
                <w:sz w:val="28"/>
                <w:szCs w:val="28"/>
                <w:rtl/>
              </w:rPr>
              <w:t xml:space="preserve">ס. </w:t>
            </w:r>
          </w:p>
        </w:tc>
      </w:tr>
    </w:tbl>
    <w:p w:rsidR="00CF025E" w:rsidRDefault="00CF025E" w:rsidP="00CF025E">
      <w:pPr>
        <w:suppressLineNumbers/>
        <w:rPr>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CF025E" w:rsidRPr="00DE1E7D" w:rsidTr="00E1137C">
        <w:trPr>
          <w:jc w:val="center"/>
        </w:trPr>
        <w:tc>
          <w:tcPr>
            <w:tcW w:w="8820" w:type="dxa"/>
          </w:tcPr>
          <w:p w:rsidR="00CF025E" w:rsidRDefault="00CF025E" w:rsidP="00E1137C">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CF025E" w:rsidRPr="00D44968" w:rsidRDefault="00CF025E" w:rsidP="00E1137C">
            <w:pPr>
              <w:bidi w:val="0"/>
              <w:jc w:val="center"/>
              <w:rPr>
                <w:rFonts w:ascii="Arial" w:hAnsi="Arial"/>
                <w:b/>
                <w:bCs/>
                <w:noProof w:val="0"/>
                <w:sz w:val="28"/>
                <w:szCs w:val="28"/>
                <w:u w:val="single"/>
              </w:rPr>
            </w:pPr>
          </w:p>
        </w:tc>
      </w:tr>
    </w:tbl>
    <w:p w:rsidR="00CF025E" w:rsidRDefault="00CF025E" w:rsidP="00CF025E">
      <w:pPr>
        <w:spacing w:line="360" w:lineRule="auto"/>
        <w:jc w:val="both"/>
        <w:rPr>
          <w:rFonts w:ascii="Narkisim" w:hAnsi="Narkisim" w:cs="Narkisim"/>
          <w:sz w:val="28"/>
          <w:szCs w:val="28"/>
          <w:rtl/>
        </w:rPr>
      </w:pPr>
      <w:bookmarkStart w:id="0" w:name="NGCSBookmark"/>
      <w:bookmarkEnd w:id="0"/>
      <w:r>
        <w:rPr>
          <w:rFonts w:ascii="Narkisim" w:hAnsi="Narkisim" w:cs="Narkisim"/>
          <w:sz w:val="28"/>
          <w:szCs w:val="28"/>
          <w:rtl/>
        </w:rPr>
        <w:t xml:space="preserve">ערעור על פסק דינו של בית המשפט לענייני משפחה בראשון לציון (כב' הש' </w:t>
      </w:r>
      <w:r>
        <w:rPr>
          <w:rFonts w:ascii="Miriam" w:hAnsi="Miriam" w:cs="Miriam"/>
          <w:rtl/>
        </w:rPr>
        <w:t>מ. ברגר- בלום</w:t>
      </w:r>
      <w:r>
        <w:rPr>
          <w:rFonts w:ascii="Narkisim" w:hAnsi="Narkisim" w:cs="Narkisim"/>
          <w:sz w:val="28"/>
          <w:szCs w:val="28"/>
          <w:rtl/>
        </w:rPr>
        <w:t>) מיום 15.5.2023 (תלה"מ 57381-10-21), במסגרתו קבע בית המשפט קמא כי הצדדים הם ידועים בציבור וככאלה הם שותפים אף בדירת המגורים על אף רישומה על שם המערער בלבד</w:t>
      </w:r>
      <w:r>
        <w:rPr>
          <w:rFonts w:ascii="Narkisim" w:hAnsi="Narkisim" w:cs="Narkisim" w:hint="cs"/>
          <w:sz w:val="28"/>
          <w:szCs w:val="28"/>
          <w:rtl/>
        </w:rPr>
        <w:t xml:space="preserve"> וזאת אחר שהוכחה כוונת שיתוף ספציפי לגביה</w:t>
      </w:r>
      <w:r>
        <w:rPr>
          <w:rFonts w:ascii="Narkisim" w:hAnsi="Narkisim" w:cs="Narkisim"/>
          <w:sz w:val="28"/>
          <w:szCs w:val="28"/>
          <w:rtl/>
        </w:rPr>
        <w:t xml:space="preserve">.  </w:t>
      </w:r>
    </w:p>
    <w:p w:rsidR="00CF025E" w:rsidRDefault="00CF025E" w:rsidP="00CF025E">
      <w:pPr>
        <w:spacing w:line="360" w:lineRule="auto"/>
        <w:jc w:val="both"/>
        <w:rPr>
          <w:rFonts w:ascii="Narkisim" w:hAnsi="Narkisim" w:cs="Narkisim"/>
          <w:noProof w:val="0"/>
          <w:sz w:val="28"/>
          <w:szCs w:val="28"/>
        </w:rPr>
      </w:pPr>
    </w:p>
    <w:p w:rsidR="00CF025E" w:rsidRDefault="00CF025E" w:rsidP="00CF025E">
      <w:pPr>
        <w:spacing w:line="360" w:lineRule="auto"/>
        <w:jc w:val="both"/>
        <w:rPr>
          <w:rFonts w:ascii="Miriam" w:hAnsi="Miriam" w:cs="Miriam"/>
          <w:rtl/>
        </w:rPr>
      </w:pPr>
      <w:r>
        <w:rPr>
          <w:rFonts w:ascii="Miriam" w:hAnsi="Miriam" w:cs="Miriam"/>
          <w:rtl/>
        </w:rPr>
        <w:t xml:space="preserve">הנדרש לנדון </w:t>
      </w:r>
    </w:p>
    <w:p w:rsidR="00CF025E" w:rsidRDefault="00CF025E" w:rsidP="00CF025E">
      <w:pPr>
        <w:spacing w:line="360" w:lineRule="auto"/>
        <w:jc w:val="both"/>
        <w:rPr>
          <w:rFonts w:ascii="Miriam" w:hAnsi="Miriam" w:cs="Miriam"/>
          <w:rtl/>
        </w:rPr>
      </w:pPr>
      <w:bookmarkStart w:id="1" w:name="_GoBack"/>
      <w:bookmarkEnd w:id="1"/>
    </w:p>
    <w:p w:rsidR="00CF025E" w:rsidRPr="00B33648" w:rsidRDefault="00CF025E" w:rsidP="00CF025E">
      <w:pPr>
        <w:pStyle w:val="a4"/>
        <w:numPr>
          <w:ilvl w:val="0"/>
          <w:numId w:val="3"/>
        </w:numPr>
        <w:spacing w:line="405" w:lineRule="atLeast"/>
        <w:ind w:left="85" w:firstLine="0"/>
        <w:jc w:val="both"/>
        <w:rPr>
          <w:rFonts w:ascii="Narkisim" w:hAnsi="Narkisim" w:cs="Narkisim"/>
          <w:sz w:val="28"/>
          <w:szCs w:val="28"/>
          <w:rtl/>
        </w:rPr>
      </w:pPr>
      <w:r w:rsidRPr="00B33648">
        <w:rPr>
          <w:rFonts w:ascii="Narkisim" w:hAnsi="Narkisim" w:cs="Narkisim"/>
          <w:sz w:val="28"/>
          <w:szCs w:val="28"/>
          <w:rtl/>
        </w:rPr>
        <w:t>המערער והמשיבה</w:t>
      </w:r>
      <w:r w:rsidRPr="00B33648">
        <w:rPr>
          <w:rFonts w:ascii="Narkisim" w:hAnsi="Narkisim" w:cs="Narkisim" w:hint="cs"/>
          <w:sz w:val="28"/>
          <w:szCs w:val="28"/>
          <w:rtl/>
        </w:rPr>
        <w:t xml:space="preserve"> הם</w:t>
      </w:r>
      <w:r w:rsidRPr="00B33648">
        <w:rPr>
          <w:rFonts w:ascii="Narkisim" w:hAnsi="Narkisim" w:cs="Narkisim"/>
          <w:sz w:val="28"/>
          <w:szCs w:val="28"/>
          <w:rtl/>
        </w:rPr>
        <w:t xml:space="preserve"> בני זוג אשר הכירו בשנת 2007. הצדדים החלו להתגורר יחדיו בחודש 05/08, ב</w:t>
      </w:r>
      <w:r w:rsidRPr="00B33648">
        <w:rPr>
          <w:rFonts w:ascii="Narkisim" w:hAnsi="Narkisim" w:cs="Narkisim" w:hint="cs"/>
          <w:sz w:val="28"/>
          <w:szCs w:val="28"/>
          <w:rtl/>
        </w:rPr>
        <w:t>דירה ב</w:t>
      </w:r>
      <w:r w:rsidRPr="00B33648">
        <w:rPr>
          <w:rFonts w:ascii="Narkisim" w:hAnsi="Narkisim" w:cs="Narkisim"/>
          <w:sz w:val="28"/>
          <w:szCs w:val="28"/>
          <w:rtl/>
        </w:rPr>
        <w:t xml:space="preserve">מעלה אדומים, אותה רכש המערער עוד קודם לתחילת מגוריהם המשותפים. הצדדים, אשר לכל אחד מהם זו </w:t>
      </w:r>
      <w:r w:rsidRPr="00B33648">
        <w:rPr>
          <w:rFonts w:ascii="Narkisim" w:hAnsi="Narkisim" w:cs="Narkisim" w:hint="cs"/>
          <w:sz w:val="28"/>
          <w:szCs w:val="28"/>
          <w:rtl/>
        </w:rPr>
        <w:t>הייתה</w:t>
      </w:r>
      <w:r w:rsidRPr="00B33648">
        <w:rPr>
          <w:rFonts w:ascii="Narkisim" w:hAnsi="Narkisim" w:cs="Narkisim"/>
          <w:sz w:val="28"/>
          <w:szCs w:val="28"/>
          <w:rtl/>
        </w:rPr>
        <w:t xml:space="preserve"> המערכת הזוגית השנייה, לא נישאו זה לזה בנישואים פורמליים, אלא ערכו מסיבה לציון זוגיותם. </w:t>
      </w:r>
      <w:r>
        <w:rPr>
          <w:rFonts w:ascii="Narkisim" w:hAnsi="Narkisim" w:cs="Narkisim" w:hint="cs"/>
          <w:sz w:val="28"/>
          <w:szCs w:val="28"/>
          <w:rtl/>
        </w:rPr>
        <w:t xml:space="preserve">מכל מקום, </w:t>
      </w:r>
      <w:r w:rsidRPr="00B33648">
        <w:rPr>
          <w:rFonts w:ascii="Narkisim" w:hAnsi="Narkisim" w:cs="Narkisim"/>
          <w:sz w:val="28"/>
          <w:szCs w:val="28"/>
          <w:rtl/>
        </w:rPr>
        <w:t xml:space="preserve">אין מחלוקת כי הצדדים היו ידועים בציבור (סעיף 2 לנימוקי הערעור). עוד יצוין, כי לצדדים  נולדו שני ילדים במהלך חייהם הזוגיים. </w:t>
      </w:r>
    </w:p>
    <w:p w:rsidR="00CF025E" w:rsidRPr="00B33648" w:rsidRDefault="00CF025E" w:rsidP="00CF025E">
      <w:pPr>
        <w:pStyle w:val="a4"/>
        <w:spacing w:line="405" w:lineRule="atLeast"/>
        <w:ind w:left="1080"/>
        <w:jc w:val="both"/>
        <w:rPr>
          <w:rFonts w:ascii="Narkisim" w:hAnsi="Narkisim" w:cs="Narkisim"/>
          <w:sz w:val="28"/>
          <w:szCs w:val="28"/>
          <w:rtl/>
        </w:rPr>
      </w:pPr>
    </w:p>
    <w:p w:rsidR="00CF025E" w:rsidRPr="00667A16" w:rsidRDefault="00CF025E" w:rsidP="00CF025E">
      <w:pPr>
        <w:pStyle w:val="a4"/>
        <w:numPr>
          <w:ilvl w:val="0"/>
          <w:numId w:val="3"/>
        </w:numPr>
        <w:spacing w:line="405" w:lineRule="atLeast"/>
        <w:ind w:left="85" w:firstLine="0"/>
        <w:jc w:val="both"/>
        <w:rPr>
          <w:rFonts w:ascii="Narkisim" w:hAnsi="Narkisim" w:cs="Narkisim"/>
          <w:sz w:val="28"/>
          <w:szCs w:val="28"/>
          <w:rtl/>
        </w:rPr>
      </w:pPr>
      <w:r w:rsidRPr="00667A16">
        <w:rPr>
          <w:rFonts w:ascii="Narkisim" w:hAnsi="Narkisim" w:cs="Narkisim"/>
          <w:sz w:val="28"/>
          <w:szCs w:val="28"/>
          <w:rtl/>
        </w:rPr>
        <w:t>כאמור, בטרם היכרות הצדדים, רכש המערער דירה במעלה אדומים, אשר במהלך החיים המשותפים נמכרה  והוחלפה פעם אחר פעם בדירה אחרת לדירות גדולות יותר, עם התרחבות המשפחה. לבסוף נמכרה דירת המגורים האחרונה במעלה אדומים, ולבקשת המשיבה, נרכשה דירה בראשון לציון, אליה עברו להתגורר עם ילדיהם</w:t>
      </w:r>
      <w:r>
        <w:rPr>
          <w:rFonts w:ascii="Narkisim" w:hAnsi="Narkisim" w:cs="Narkisim" w:hint="cs"/>
          <w:sz w:val="28"/>
          <w:szCs w:val="28"/>
          <w:rtl/>
        </w:rPr>
        <w:t xml:space="preserve"> (להלן </w:t>
      </w:r>
      <w:r>
        <w:rPr>
          <w:rFonts w:ascii="Narkisim" w:hAnsi="Narkisim" w:cs="Narkisim"/>
          <w:sz w:val="28"/>
          <w:szCs w:val="28"/>
          <w:rtl/>
        </w:rPr>
        <w:t>–</w:t>
      </w:r>
      <w:r>
        <w:rPr>
          <w:rFonts w:ascii="Narkisim" w:hAnsi="Narkisim" w:cs="Narkisim" w:hint="cs"/>
          <w:sz w:val="28"/>
          <w:szCs w:val="28"/>
          <w:rtl/>
        </w:rPr>
        <w:t xml:space="preserve"> </w:t>
      </w:r>
      <w:r w:rsidRPr="00667A16">
        <w:rPr>
          <w:rFonts w:ascii="Miriam" w:hAnsi="Miriam" w:cs="Miriam"/>
          <w:rtl/>
        </w:rPr>
        <w:t>דירת המגורים</w:t>
      </w:r>
      <w:r>
        <w:rPr>
          <w:rFonts w:ascii="Narkisim" w:hAnsi="Narkisim" w:cs="Narkisim" w:hint="cs"/>
          <w:sz w:val="28"/>
          <w:szCs w:val="28"/>
          <w:rtl/>
        </w:rPr>
        <w:t>)</w:t>
      </w:r>
      <w:r w:rsidRPr="00667A16">
        <w:rPr>
          <w:rFonts w:ascii="Narkisim" w:hAnsi="Narkisim" w:cs="Narkisim"/>
          <w:sz w:val="28"/>
          <w:szCs w:val="28"/>
          <w:rtl/>
        </w:rPr>
        <w:t xml:space="preserve">. הבעלות על דירת המגורים נרשמה על שם המערער בלבד. </w:t>
      </w:r>
    </w:p>
    <w:p w:rsidR="00CF025E" w:rsidRPr="00667A16" w:rsidRDefault="00CF025E" w:rsidP="00CF025E">
      <w:pPr>
        <w:pStyle w:val="a4"/>
        <w:rPr>
          <w:rFonts w:ascii="Narkisim" w:hAnsi="Narkisim" w:cs="Narkisim"/>
          <w:sz w:val="28"/>
          <w:szCs w:val="28"/>
          <w:rtl/>
        </w:rPr>
      </w:pPr>
    </w:p>
    <w:p w:rsidR="00CF025E" w:rsidRPr="00264482" w:rsidRDefault="00CF025E" w:rsidP="00CF025E">
      <w:pPr>
        <w:pStyle w:val="a4"/>
        <w:numPr>
          <w:ilvl w:val="0"/>
          <w:numId w:val="3"/>
        </w:numPr>
        <w:spacing w:line="405" w:lineRule="atLeast"/>
        <w:ind w:left="85" w:firstLine="0"/>
        <w:jc w:val="both"/>
        <w:rPr>
          <w:rFonts w:ascii="Narkisim" w:hAnsi="Narkisim" w:cs="Narkisim"/>
          <w:sz w:val="28"/>
          <w:szCs w:val="28"/>
          <w:rtl/>
        </w:rPr>
      </w:pPr>
      <w:r w:rsidRPr="00264482">
        <w:rPr>
          <w:rFonts w:ascii="Narkisim" w:hAnsi="Narkisim" w:cs="Narkisim"/>
          <w:sz w:val="28"/>
          <w:szCs w:val="28"/>
          <w:rtl/>
        </w:rPr>
        <w:lastRenderedPageBreak/>
        <w:t xml:space="preserve">המערער התכחש להיותם של הצדדים ידועים בציבור (במסגרת הערעור חזר בו המערער מהכחשה זו, על אף שזו קיבלה ביטוי מפורש בכתבי בי דין מטעמו בבית משפט קמא). עוד טען כי הצדדים חיו "בשותפות", אך תוך הפרדה רכושית מוחלטת, לפיכך יש לקבוע כי אין למשיבה כל זכויות בדירה. לחלופין טען כי  יש לקבוע שהשיתוף חל אך ורק ביחס לתוספת הרכוש שנצברה לצדדים במסגרת תקופת החיים המשותפים. </w:t>
      </w:r>
    </w:p>
    <w:p w:rsidR="00CF025E" w:rsidRPr="00264482" w:rsidRDefault="00CF025E" w:rsidP="00CF025E">
      <w:pPr>
        <w:pStyle w:val="a4"/>
        <w:rPr>
          <w:rFonts w:ascii="Narkisim" w:hAnsi="Narkisim" w:cs="Narkisim"/>
          <w:sz w:val="28"/>
          <w:szCs w:val="28"/>
          <w:rtl/>
        </w:rPr>
      </w:pPr>
    </w:p>
    <w:p w:rsidR="00CF025E" w:rsidRDefault="00CF025E" w:rsidP="00CF025E">
      <w:pPr>
        <w:spacing w:line="405" w:lineRule="atLeast"/>
        <w:jc w:val="both"/>
        <w:rPr>
          <w:rFonts w:ascii="Miriam" w:hAnsi="Miriam" w:cs="Miriam"/>
          <w:rtl/>
        </w:rPr>
      </w:pPr>
      <w:r>
        <w:rPr>
          <w:rFonts w:ascii="Miriam" w:hAnsi="Miriam" w:cs="Miriam"/>
          <w:rtl/>
        </w:rPr>
        <w:t xml:space="preserve">פסק דינו של בית משפט קמא </w:t>
      </w:r>
    </w:p>
    <w:p w:rsidR="00CF025E" w:rsidRDefault="00CF025E" w:rsidP="00CF025E">
      <w:pPr>
        <w:spacing w:line="405" w:lineRule="atLeast"/>
        <w:jc w:val="both"/>
        <w:rPr>
          <w:rFonts w:ascii="Miriam" w:hAnsi="Miriam" w:cs="Miriam"/>
          <w:rtl/>
        </w:rPr>
      </w:pPr>
    </w:p>
    <w:p w:rsidR="00CF025E" w:rsidRDefault="00CF025E" w:rsidP="00CF025E">
      <w:pPr>
        <w:spacing w:line="405" w:lineRule="atLeast"/>
        <w:jc w:val="both"/>
        <w:rPr>
          <w:rFonts w:ascii="Narkisim" w:hAnsi="Narkisim" w:cs="Narkisim"/>
          <w:sz w:val="28"/>
          <w:szCs w:val="28"/>
        </w:rPr>
      </w:pPr>
      <w:r>
        <w:rPr>
          <w:rFonts w:ascii="Narkisim" w:hAnsi="Narkisim" w:cs="Narkisim"/>
          <w:sz w:val="28"/>
          <w:szCs w:val="28"/>
          <w:rtl/>
        </w:rPr>
        <w:t>4.</w:t>
      </w:r>
      <w:r>
        <w:rPr>
          <w:rFonts w:ascii="Narkisim" w:hAnsi="Narkisim" w:cs="Narkisim"/>
          <w:sz w:val="28"/>
          <w:szCs w:val="28"/>
          <w:rtl/>
        </w:rPr>
        <w:tab/>
        <w:t xml:space="preserve">בית משפט קמא בפסק דינו קיבל את עיקר טענות המשיבה ודחה את טענות המערער. בית המשפט מצא כי עסקינן בבני זוג ידועים בציבור, אשר קיימו חיי משפחה כבעל ואישה וניהלו משק בית משותף, ובלשונו : </w:t>
      </w:r>
    </w:p>
    <w:p w:rsidR="00CF025E" w:rsidRDefault="00CF025E" w:rsidP="00CF025E">
      <w:pPr>
        <w:spacing w:line="405" w:lineRule="atLeast"/>
        <w:jc w:val="both"/>
        <w:rPr>
          <w:rFonts w:ascii="Narkisim" w:hAnsi="Narkisim" w:cs="Narkisim"/>
          <w:sz w:val="28"/>
          <w:szCs w:val="28"/>
          <w:rtl/>
        </w:rPr>
      </w:pPr>
    </w:p>
    <w:p w:rsidR="00CF025E" w:rsidRDefault="00CF025E" w:rsidP="00CF025E">
      <w:pPr>
        <w:ind w:left="1134" w:right="1134"/>
        <w:jc w:val="both"/>
        <w:rPr>
          <w:rFonts w:ascii="Narkisim" w:hAnsi="Narkisim" w:cs="Narkisim"/>
          <w:sz w:val="28"/>
          <w:szCs w:val="28"/>
          <w:rtl/>
        </w:rPr>
      </w:pPr>
      <w:r>
        <w:rPr>
          <w:rFonts w:ascii="Narkisim" w:hAnsi="Narkisim" w:cs="Narkisim"/>
          <w:sz w:val="28"/>
          <w:szCs w:val="28"/>
          <w:rtl/>
        </w:rPr>
        <w:t>"כאמור לעיל, הצדדים התגוררו תחת קורת גג אחת וניהלו מערכת יחסים זוגית שנמשכה שנים רבות, במסגרתה התובע שימש כמפרנס עיקרי והנתבעת, לרוב, שימשה כעקרת בית והייתה אמונה על גידול הילדים. בשים לב לכך שבהתאם לנקבע בפסיקה, משק בית משותף אין פירושו שוויון הכרחי במקורות המימון בין הצדדים, וגם אם הנתבעת לא מימנה כלל, הרי שטרחה ועמלה, ובכך תרומתה למשק הבית" (סעיף 45 לפסק הדין).</w:t>
      </w:r>
    </w:p>
    <w:p w:rsidR="00CF025E" w:rsidRDefault="00CF025E" w:rsidP="00CF025E">
      <w:pPr>
        <w:spacing w:line="405" w:lineRule="atLeast"/>
        <w:jc w:val="both"/>
        <w:rPr>
          <w:rFonts w:ascii="Narkisim" w:hAnsi="Narkisim" w:cs="Narkisim"/>
          <w:sz w:val="28"/>
          <w:szCs w:val="28"/>
          <w:rtl/>
        </w:rPr>
      </w:pPr>
    </w:p>
    <w:p w:rsidR="00CF025E" w:rsidRDefault="00CF025E" w:rsidP="00CF025E">
      <w:pPr>
        <w:spacing w:line="405" w:lineRule="atLeast"/>
        <w:jc w:val="both"/>
        <w:rPr>
          <w:rFonts w:ascii="Narkisim" w:hAnsi="Narkisim" w:cs="Narkisim"/>
          <w:sz w:val="28"/>
          <w:szCs w:val="28"/>
          <w:rtl/>
        </w:rPr>
      </w:pPr>
      <w:r>
        <w:rPr>
          <w:rFonts w:ascii="Narkisim" w:hAnsi="Narkisim" w:cs="Narkisim"/>
          <w:sz w:val="28"/>
          <w:szCs w:val="28"/>
          <w:rtl/>
        </w:rPr>
        <w:t>עוד קבע בית משפט קמא כי בין הצדדים הייתה כוונת שיתוף  בנכסיהם, וכי : "קיימות אינדיקציות רבות לשיתוף הגוברות על נקלה על הטיעון המופרך של התובע, לפיו הנתבעת הייתה אורחת המתגוררת בביתו כשותפה לגידול הילדים, ללא מחויבות רגשית או כלכלית" (סעיף 67 לפסק הדין).</w:t>
      </w:r>
    </w:p>
    <w:p w:rsidR="00CF025E" w:rsidRDefault="00CF025E" w:rsidP="00CF025E">
      <w:pPr>
        <w:spacing w:line="405" w:lineRule="atLeast"/>
        <w:jc w:val="both"/>
        <w:rPr>
          <w:rFonts w:ascii="Narkisim" w:hAnsi="Narkisim" w:cs="Narkisim"/>
          <w:sz w:val="28"/>
          <w:szCs w:val="28"/>
        </w:rPr>
      </w:pPr>
    </w:p>
    <w:p w:rsidR="00CF025E" w:rsidRDefault="00CF025E" w:rsidP="00CF025E">
      <w:pPr>
        <w:spacing w:line="405" w:lineRule="atLeast"/>
        <w:ind w:firstLine="720"/>
        <w:jc w:val="both"/>
        <w:rPr>
          <w:rFonts w:ascii="Narkisim" w:hAnsi="Narkisim" w:cs="Narkisim"/>
          <w:sz w:val="28"/>
          <w:szCs w:val="28"/>
          <w:rtl/>
        </w:rPr>
      </w:pPr>
      <w:r>
        <w:rPr>
          <w:rFonts w:ascii="Narkisim" w:hAnsi="Narkisim" w:cs="Narkisim"/>
          <w:sz w:val="28"/>
          <w:szCs w:val="28"/>
          <w:rtl/>
        </w:rPr>
        <w:t xml:space="preserve">מהראיות שהונחו לפני בית משפט קמא, נקבע שהמשיבה מיעטה לעבוד מחוץ לבית בתקופת החיים המשותפים, והיא הייתה אמונה על ניהול משק הבית וחינוך הילדים. כך גם, מעת לעת, וכשהתאפשר הדבר, תרמה מבחינה כלכלית. עוד קבע בית המשפט כי התנהל בין הצדדים שיתוף רכושי מלא, הגם שהם ניהלו  חשבונות בנק נפרדים. הכספים שהוצאו על ידי הצדדים היו לצרכים המשותפים, ולמעשה היתה להם קופה רעיונית משותפת. כך נקבע כי : </w:t>
      </w:r>
    </w:p>
    <w:p w:rsidR="00CF025E" w:rsidRDefault="00CF025E" w:rsidP="00CF025E">
      <w:pPr>
        <w:ind w:left="1418" w:right="1418"/>
        <w:jc w:val="both"/>
        <w:rPr>
          <w:rFonts w:ascii="Narkisim" w:hAnsi="Narkisim" w:cs="Narkisim"/>
          <w:sz w:val="28"/>
          <w:szCs w:val="28"/>
          <w:rtl/>
        </w:rPr>
      </w:pPr>
      <w:r>
        <w:rPr>
          <w:rFonts w:ascii="Narkisim" w:hAnsi="Narkisim" w:cs="Narkisim"/>
          <w:sz w:val="28"/>
          <w:szCs w:val="28"/>
          <w:rtl/>
        </w:rPr>
        <w:lastRenderedPageBreak/>
        <w:t>"בחינת אורח החיים המשותפים של בני הזוג והתנהגותם הכללית בעניינים הכספיים והרכושיים כמתואר לעיל, מעידה על כך שבני הזוג יצרו מערכת שבה הייתה לכל הפחות תלות ודאגה כלכלית הדדית ובחלק מהעניינים הכלכליים לא הייתה הבחנה של ממש בין הצרכים, ההוצאות וההכנסות. מדובר על מערכת חיים בצוותא, בה נערך מאמץ משותף ואשר בו כל אחד תרם, אם מכספו, מטרחתו ומעמלו, את חלקו לקיום היחידה המשפחתית: כאמור, שני הצדדים ניהלו חיים משותפים במשך כ-15 שנים, הביאו שני ילדים משותפים, והתגוררו יחדיו"(סעיף 75 לפסק הדין).</w:t>
      </w:r>
    </w:p>
    <w:p w:rsidR="00CF025E" w:rsidRDefault="00CF025E" w:rsidP="00CF025E">
      <w:pPr>
        <w:ind w:left="1418" w:right="1418"/>
        <w:jc w:val="both"/>
        <w:rPr>
          <w:rFonts w:ascii="Narkisim" w:hAnsi="Narkisim" w:cs="Narkisim"/>
          <w:sz w:val="28"/>
          <w:szCs w:val="28"/>
          <w:rtl/>
        </w:rPr>
      </w:pPr>
    </w:p>
    <w:p w:rsidR="00CF025E" w:rsidRPr="00874ECE" w:rsidRDefault="00CF025E" w:rsidP="00CF025E">
      <w:pPr>
        <w:pStyle w:val="a4"/>
        <w:numPr>
          <w:ilvl w:val="0"/>
          <w:numId w:val="4"/>
        </w:numPr>
        <w:spacing w:line="405" w:lineRule="atLeast"/>
        <w:ind w:left="85" w:firstLine="0"/>
        <w:jc w:val="both"/>
        <w:rPr>
          <w:rFonts w:ascii="Narkisim" w:hAnsi="Narkisim" w:cs="Narkisim"/>
          <w:sz w:val="28"/>
          <w:szCs w:val="28"/>
          <w:rtl/>
        </w:rPr>
      </w:pPr>
      <w:r w:rsidRPr="00874ECE">
        <w:rPr>
          <w:rFonts w:ascii="Narkisim" w:hAnsi="Narkisim" w:cs="Narkisim"/>
          <w:sz w:val="28"/>
          <w:szCs w:val="28"/>
          <w:rtl/>
        </w:rPr>
        <w:t xml:space="preserve">בית המשפט הוסיף וקבע כי הדירה נושא הדיון נבחרה ונקנתה על ידי שני הצדדים, בתקופת החיים המשותפים, כי היא נרכשה לאחר שהצדדים הביאו ילדים לעולם וחיו כידועים בציבור במשך תקופה ממושכת לרבות מגורים בדירה. לא זו אף זו, הצדדים עברו להתגורר בראשון לציון לבקשת המשיבה ובדירה התגוררה, לפרק זמן מסויים, גם אמה של המשיבה. נקבע כי מאחר "שמדובר בדירת מגורים, הרי מכוח היות נכס זה נכס משפחתי מובהק, נדרשת כמות ראיות קטנה יותר להוכחת השיתוף והגבולות בין המשאבים מיטשטשים, אף אם מלכתחילה עיקר המעמסה הייתה על אחד מבני הזוג" (סעיף 82 לפסק הדין והמובאות המופיעות שם). נוכח כלל האמור קבע בית משפט קמא: </w:t>
      </w:r>
    </w:p>
    <w:p w:rsidR="00CF025E" w:rsidRPr="000652BA" w:rsidRDefault="00CF025E" w:rsidP="00CF025E">
      <w:pPr>
        <w:pStyle w:val="a4"/>
        <w:spacing w:line="405" w:lineRule="atLeast"/>
        <w:ind w:left="1080"/>
        <w:jc w:val="both"/>
        <w:rPr>
          <w:rFonts w:ascii="Narkisim" w:hAnsi="Narkisim" w:cs="Narkisim"/>
          <w:sz w:val="28"/>
          <w:szCs w:val="28"/>
        </w:rPr>
      </w:pPr>
    </w:p>
    <w:p w:rsidR="00CF025E" w:rsidRDefault="00CF025E" w:rsidP="00CF025E">
      <w:pPr>
        <w:ind w:left="1134" w:right="1134"/>
        <w:jc w:val="both"/>
        <w:rPr>
          <w:rFonts w:ascii="Narkisim" w:hAnsi="Narkisim" w:cs="Narkisim"/>
          <w:sz w:val="28"/>
          <w:szCs w:val="28"/>
          <w:rtl/>
        </w:rPr>
      </w:pPr>
      <w:r>
        <w:rPr>
          <w:rFonts w:ascii="Narkisim" w:hAnsi="Narkisim" w:cs="Narkisim"/>
          <w:sz w:val="28"/>
          <w:szCs w:val="28"/>
          <w:rtl/>
        </w:rPr>
        <w:t>"העובדה שהצדדים חיו כבני זוג נשואים לכל דבר ועניין, כאשר כל אחד תרם כפי יכולתו ואפשרויותיו, העובדה שהדירה הראשונה הוחלפה והושבחה עם השנים ע"י רכישת דירה בת 5 חדרים במרכז (פרו' מיום 2.11.22 עמ' 20 שורות 13-30), העובדה שהמעבר לראשון לציון היה לבקשת הנתבעת, העובדה שאימה של הנתבעת התגוררה עם הצדדים, העובדה שהנתבעת העידה כי ראתה בדירה כדירתה שלה, העובדה שיחסי הצדדים המשותפים לא נקטעו, כל אלה בצירוף מכלול הנסיבות מלמדים, כי הדירה, מהווה נכס משותף" (סעיף 83 לפסק הדין).</w:t>
      </w:r>
    </w:p>
    <w:p w:rsidR="00CF025E" w:rsidRDefault="00CF025E" w:rsidP="00CF025E">
      <w:pPr>
        <w:ind w:left="1134" w:right="1134"/>
        <w:jc w:val="both"/>
        <w:rPr>
          <w:rFonts w:ascii="Narkisim" w:hAnsi="Narkisim" w:cs="Narkisim"/>
          <w:sz w:val="28"/>
          <w:szCs w:val="28"/>
          <w:rtl/>
        </w:rPr>
      </w:pPr>
    </w:p>
    <w:p w:rsidR="00CF025E" w:rsidRDefault="00CF025E" w:rsidP="00CF025E">
      <w:pPr>
        <w:ind w:right="1134"/>
        <w:jc w:val="both"/>
        <w:rPr>
          <w:rFonts w:ascii="Miriam" w:hAnsi="Miriam" w:cs="Miriam"/>
          <w:rtl/>
        </w:rPr>
      </w:pPr>
      <w:r>
        <w:rPr>
          <w:rFonts w:ascii="Miriam" w:hAnsi="Miriam" w:cs="Miriam"/>
          <w:rtl/>
        </w:rPr>
        <w:t xml:space="preserve">תמצית טענות המערער </w:t>
      </w:r>
    </w:p>
    <w:p w:rsidR="00CF025E" w:rsidRDefault="00CF025E" w:rsidP="00CF025E">
      <w:pPr>
        <w:ind w:right="1134"/>
        <w:jc w:val="both"/>
        <w:rPr>
          <w:rFonts w:ascii="Miriam" w:hAnsi="Miriam" w:cs="Miriam"/>
          <w:rtl/>
        </w:rPr>
      </w:pPr>
    </w:p>
    <w:p w:rsidR="00CF025E" w:rsidRDefault="00CF025E" w:rsidP="00CF025E">
      <w:pPr>
        <w:spacing w:line="405" w:lineRule="atLeast"/>
        <w:jc w:val="both"/>
        <w:rPr>
          <w:rFonts w:ascii="Narkisim" w:hAnsi="Narkisim" w:cs="Narkisim"/>
          <w:sz w:val="28"/>
          <w:szCs w:val="28"/>
          <w:rtl/>
        </w:rPr>
      </w:pPr>
      <w:r>
        <w:rPr>
          <w:rFonts w:ascii="Narkisim" w:hAnsi="Narkisim" w:cs="Narkisim"/>
          <w:sz w:val="28"/>
          <w:szCs w:val="28"/>
          <w:rtl/>
        </w:rPr>
        <w:t>6.</w:t>
      </w:r>
      <w:r>
        <w:rPr>
          <w:rFonts w:ascii="Narkisim" w:hAnsi="Narkisim" w:cs="Narkisim"/>
          <w:sz w:val="28"/>
          <w:szCs w:val="28"/>
          <w:rtl/>
        </w:rPr>
        <w:tab/>
        <w:t>לטענת המערער שגה בית משפט קמא בקביעתו כי קיים שיתוף בנכסי המערער, ובפרט בדירת המגורים. לסברתו,   עצם קיומם של חיים משותפים, ואפילו ממושכים, המלווים בגידול ילדים אינו מקנה זכויות בדירת מגורים הרשומה על שם בן זוג אחד</w:t>
      </w:r>
      <w:r>
        <w:rPr>
          <w:rFonts w:ascii="Narkisim" w:hAnsi="Narkisim" w:cs="Narkisim" w:hint="cs"/>
          <w:sz w:val="28"/>
          <w:szCs w:val="28"/>
          <w:rtl/>
        </w:rPr>
        <w:t>,</w:t>
      </w:r>
      <w:r>
        <w:rPr>
          <w:rFonts w:ascii="Narkisim" w:hAnsi="Narkisim" w:cs="Narkisim"/>
          <w:sz w:val="28"/>
          <w:szCs w:val="28"/>
          <w:rtl/>
        </w:rPr>
        <w:t xml:space="preserve"> שעה שמקור הכספים בתמורת דירה שנרכשה על ידו טרם ההיכרות. </w:t>
      </w:r>
      <w:r>
        <w:rPr>
          <w:rFonts w:ascii="Narkisim" w:hAnsi="Narkisim" w:cs="Narkisim"/>
          <w:sz w:val="28"/>
          <w:szCs w:val="28"/>
          <w:rtl/>
        </w:rPr>
        <w:lastRenderedPageBreak/>
        <w:t xml:space="preserve">לטענת המערער, היה על המשיבה להראות נסיבות עובדתיות נוספות לקיום החיים המשותפים מהם ניתן להסיק הקניית זכויות בדירת המגורים. </w:t>
      </w:r>
    </w:p>
    <w:p w:rsidR="00CF025E" w:rsidRDefault="00CF025E" w:rsidP="00CF025E">
      <w:pPr>
        <w:spacing w:line="405" w:lineRule="atLeast"/>
        <w:jc w:val="both"/>
        <w:rPr>
          <w:rFonts w:ascii="Narkisim" w:hAnsi="Narkisim" w:cs="Narkisim"/>
          <w:sz w:val="28"/>
          <w:szCs w:val="28"/>
        </w:rPr>
      </w:pPr>
    </w:p>
    <w:p w:rsidR="00CF025E" w:rsidRDefault="00CF025E" w:rsidP="00CF025E">
      <w:pPr>
        <w:spacing w:line="405" w:lineRule="atLeast"/>
        <w:jc w:val="both"/>
        <w:rPr>
          <w:rFonts w:ascii="Narkisim" w:hAnsi="Narkisim" w:cs="Narkisim"/>
          <w:sz w:val="28"/>
          <w:szCs w:val="28"/>
          <w:rtl/>
        </w:rPr>
      </w:pPr>
      <w:r>
        <w:rPr>
          <w:rFonts w:ascii="Narkisim" w:hAnsi="Narkisim" w:cs="Narkisim"/>
          <w:sz w:val="28"/>
          <w:szCs w:val="28"/>
          <w:rtl/>
        </w:rPr>
        <w:tab/>
        <w:t xml:space="preserve">לטענת המערער לא קיימת כל אינדיקציה פוזיטיבית ספציפית לקיומה של כוונת שיתוף וכי ההסכמה בין הצדדים בפועל, מתחילת הקשר, הייתה להפרדה רכושית.  </w:t>
      </w:r>
    </w:p>
    <w:p w:rsidR="00CF025E" w:rsidRDefault="00CF025E" w:rsidP="00CF025E">
      <w:pPr>
        <w:spacing w:line="405" w:lineRule="atLeast"/>
        <w:jc w:val="both"/>
        <w:rPr>
          <w:rFonts w:ascii="Narkisim" w:hAnsi="Narkisim" w:cs="Narkisim"/>
          <w:sz w:val="28"/>
          <w:szCs w:val="28"/>
          <w:rtl/>
        </w:rPr>
      </w:pPr>
    </w:p>
    <w:p w:rsidR="00CF025E" w:rsidRDefault="00CF025E" w:rsidP="00CF025E">
      <w:pPr>
        <w:spacing w:line="405" w:lineRule="atLeast"/>
        <w:jc w:val="both"/>
        <w:rPr>
          <w:rFonts w:ascii="Narkisim" w:hAnsi="Narkisim" w:cs="Narkisim"/>
          <w:sz w:val="28"/>
          <w:szCs w:val="28"/>
          <w:rtl/>
        </w:rPr>
      </w:pPr>
      <w:r>
        <w:rPr>
          <w:rFonts w:ascii="Narkisim" w:hAnsi="Narkisim" w:cs="Narkisim"/>
          <w:sz w:val="28"/>
          <w:szCs w:val="28"/>
          <w:rtl/>
        </w:rPr>
        <w:tab/>
        <w:t xml:space="preserve">עוד טען המערער כי המשיבה מושתקת לטעון טענות הנגזרות מהיותם ידועים בציבור מאחר שהיא הצהירה לפני רשויות המס ההפך (המשיבה הצהירה כי היא גרושה על מנת ליהנות מנקודות זיכוי). </w:t>
      </w:r>
      <w:r>
        <w:rPr>
          <w:rFonts w:ascii="Narkisim" w:hAnsi="Narkisim" w:cs="Narkisim" w:hint="cs"/>
          <w:sz w:val="28"/>
          <w:szCs w:val="28"/>
          <w:rtl/>
        </w:rPr>
        <w:t xml:space="preserve">עוד נטען כי </w:t>
      </w:r>
      <w:r>
        <w:rPr>
          <w:rFonts w:ascii="Narkisim" w:hAnsi="Narkisim" w:cs="Narkisim"/>
          <w:sz w:val="28"/>
          <w:szCs w:val="28"/>
          <w:rtl/>
        </w:rPr>
        <w:t xml:space="preserve">אין להשליך מחלוף הזמן של החיים הזוגיים על השיתוף או על הסתמכות המשיבה. </w:t>
      </w:r>
    </w:p>
    <w:p w:rsidR="00CF025E" w:rsidRDefault="00CF025E" w:rsidP="00CF025E">
      <w:pPr>
        <w:spacing w:line="405" w:lineRule="atLeast"/>
        <w:jc w:val="both"/>
        <w:rPr>
          <w:rFonts w:ascii="Narkisim" w:hAnsi="Narkisim" w:cs="Narkisim"/>
          <w:sz w:val="28"/>
          <w:szCs w:val="28"/>
          <w:rtl/>
        </w:rPr>
      </w:pPr>
    </w:p>
    <w:p w:rsidR="00CF025E" w:rsidRDefault="00CF025E" w:rsidP="00CF025E">
      <w:pPr>
        <w:spacing w:line="405" w:lineRule="atLeast"/>
        <w:jc w:val="both"/>
        <w:rPr>
          <w:rFonts w:ascii="Narkisim" w:hAnsi="Narkisim" w:cs="Narkisim"/>
          <w:sz w:val="28"/>
          <w:szCs w:val="28"/>
          <w:rtl/>
        </w:rPr>
      </w:pPr>
      <w:r>
        <w:rPr>
          <w:rFonts w:ascii="Narkisim" w:hAnsi="Narkisim" w:cs="Narkisim"/>
          <w:sz w:val="28"/>
          <w:szCs w:val="28"/>
          <w:rtl/>
        </w:rPr>
        <w:t>7.</w:t>
      </w:r>
      <w:r>
        <w:rPr>
          <w:rFonts w:ascii="Narkisim" w:hAnsi="Narkisim" w:cs="Narkisim"/>
          <w:sz w:val="28"/>
          <w:szCs w:val="28"/>
          <w:rtl/>
        </w:rPr>
        <w:tab/>
        <w:t xml:space="preserve">המשיבה סומכת ידה על פסק דינו של בית משפט קמא, ולטענתה מדובר בערעור סרק. </w:t>
      </w:r>
    </w:p>
    <w:p w:rsidR="00CF025E" w:rsidRDefault="00CF025E" w:rsidP="00CF025E">
      <w:pPr>
        <w:spacing w:line="405" w:lineRule="atLeast"/>
        <w:ind w:firstLine="720"/>
        <w:jc w:val="both"/>
        <w:rPr>
          <w:rFonts w:ascii="Narkisim" w:hAnsi="Narkisim" w:cs="Narkisim"/>
          <w:sz w:val="28"/>
          <w:szCs w:val="28"/>
          <w:rtl/>
        </w:rPr>
      </w:pPr>
      <w:r>
        <w:rPr>
          <w:rFonts w:ascii="Narkisim" w:hAnsi="Narkisim" w:cs="Narkisim"/>
          <w:sz w:val="28"/>
          <w:szCs w:val="28"/>
          <w:rtl/>
        </w:rPr>
        <w:t xml:space="preserve">לטענתה, מוסכם, שהמשיבה הייתה בן הזוג הביתי – שהתה בבית עם הילדים (כשאחד מהם אובחן על הרצף האוטיסטי), בעידודו של המערער ובהסכמתו. בעת הזו, המערער שגשג בעבודתו (שכרו האמיר מכ- 6,500 בתחילת הקשר לכ- 25,000 ₪). על כן, אין בעובדה שתרומתה של המשיבה, מבחינה כספית, הייתה פחותה, כדי לפגוע בתרומתה השוויונית לחיי המשפחה. </w:t>
      </w:r>
    </w:p>
    <w:p w:rsidR="00CF025E" w:rsidRDefault="00CF025E" w:rsidP="00CF025E">
      <w:pPr>
        <w:spacing w:line="405" w:lineRule="atLeast"/>
        <w:ind w:firstLine="720"/>
        <w:jc w:val="both"/>
        <w:rPr>
          <w:rFonts w:ascii="Narkisim" w:hAnsi="Narkisim" w:cs="Narkisim"/>
          <w:sz w:val="28"/>
          <w:szCs w:val="28"/>
          <w:rtl/>
        </w:rPr>
      </w:pPr>
    </w:p>
    <w:p w:rsidR="00CF025E" w:rsidRDefault="00CF025E" w:rsidP="00CF025E">
      <w:pPr>
        <w:spacing w:line="405" w:lineRule="atLeast"/>
        <w:ind w:firstLine="720"/>
        <w:jc w:val="both"/>
        <w:rPr>
          <w:rFonts w:ascii="Narkisim" w:hAnsi="Narkisim" w:cs="Narkisim"/>
          <w:sz w:val="28"/>
          <w:szCs w:val="28"/>
          <w:rtl/>
        </w:rPr>
      </w:pPr>
      <w:r>
        <w:rPr>
          <w:rFonts w:ascii="Narkisim" w:hAnsi="Narkisim" w:cs="Narkisim"/>
          <w:sz w:val="28"/>
          <w:szCs w:val="28"/>
          <w:rtl/>
        </w:rPr>
        <w:t xml:space="preserve">אשר לדירת המגורים – נקבע בפסיקה כי דירת המגורים היא הנכס המשפחתי המובהק ביותר ועל כן נדרש רף ראייתי נמוך יחסית לצורך הכללת דירת המגורים ברכוש המשותף של הצדדים. נדרש "דבר מה נוסף" שבענייננו הוכח קיומו ואף למעלה מכך. </w:t>
      </w:r>
    </w:p>
    <w:p w:rsidR="00CF025E" w:rsidRDefault="00CF025E" w:rsidP="00CF025E">
      <w:pPr>
        <w:spacing w:line="405" w:lineRule="atLeast"/>
        <w:ind w:firstLine="720"/>
        <w:jc w:val="both"/>
        <w:rPr>
          <w:rFonts w:ascii="Narkisim" w:hAnsi="Narkisim" w:cs="Narkisim"/>
          <w:sz w:val="28"/>
          <w:szCs w:val="28"/>
          <w:rtl/>
        </w:rPr>
      </w:pPr>
    </w:p>
    <w:p w:rsidR="00CF025E" w:rsidRDefault="00CF025E" w:rsidP="00CF025E">
      <w:pPr>
        <w:spacing w:line="405" w:lineRule="atLeast"/>
        <w:ind w:left="3600"/>
        <w:jc w:val="both"/>
        <w:rPr>
          <w:rFonts w:ascii="Narkisim" w:hAnsi="Narkisim" w:cs="Narkisim"/>
          <w:sz w:val="28"/>
          <w:szCs w:val="28"/>
          <w:rtl/>
        </w:rPr>
      </w:pPr>
      <w:r>
        <w:rPr>
          <w:rFonts w:ascii="Narkisim" w:hAnsi="Narkisim" w:cs="Narkisim"/>
          <w:sz w:val="28"/>
          <w:szCs w:val="28"/>
          <w:rtl/>
        </w:rPr>
        <w:t>***</w:t>
      </w:r>
    </w:p>
    <w:p w:rsidR="00CF025E" w:rsidRDefault="00CF025E" w:rsidP="00CF025E">
      <w:pPr>
        <w:spacing w:line="405" w:lineRule="atLeast"/>
        <w:jc w:val="both"/>
        <w:rPr>
          <w:rFonts w:ascii="Narkisim" w:eastAsia="Calibri" w:hAnsi="Narkisim" w:cs="Narkisim"/>
          <w:sz w:val="28"/>
          <w:szCs w:val="28"/>
          <w:rtl/>
        </w:rPr>
      </w:pPr>
      <w:r>
        <w:rPr>
          <w:rFonts w:ascii="Narkisim" w:hAnsi="Narkisim" w:cs="Narkisim"/>
          <w:sz w:val="28"/>
          <w:szCs w:val="28"/>
          <w:rtl/>
        </w:rPr>
        <w:t>8.</w:t>
      </w:r>
      <w:r>
        <w:rPr>
          <w:rFonts w:ascii="Narkisim" w:hAnsi="Narkisim" w:cs="Narkisim"/>
          <w:sz w:val="28"/>
          <w:szCs w:val="28"/>
          <w:rtl/>
        </w:rPr>
        <w:tab/>
        <w:t xml:space="preserve">אחר שעיינו עיין היטב בטענות הצדדים מצאנו כי דין הערעור להידחות. </w:t>
      </w:r>
      <w:r>
        <w:rPr>
          <w:rFonts w:ascii="Narkisim" w:eastAsia="Calibri" w:hAnsi="Narkisim" w:cs="Narkisim"/>
          <w:sz w:val="28"/>
          <w:szCs w:val="28"/>
          <w:rtl/>
        </w:rPr>
        <w:t xml:space="preserve">הארכנו בפירוט הממצאים והמסקנות בפסק דינו המפורט והמנומק של בית משפט קמא, כיוון שאנו סבורים כי יש לדחות את הערעור מכוח הוראת סע' 148(ב)  </w:t>
      </w:r>
      <w:r>
        <w:rPr>
          <w:rFonts w:ascii="Miriam" w:eastAsia="Calibri" w:hAnsi="Miriam" w:cs="Miriam"/>
          <w:rtl/>
        </w:rPr>
        <w:t xml:space="preserve">לתקנות סדר הדין האזרחי, </w:t>
      </w:r>
      <w:r>
        <w:rPr>
          <w:rFonts w:ascii="Narkisim" w:eastAsia="Calibri" w:hAnsi="Narkisim" w:cs="Narkisim"/>
          <w:sz w:val="28"/>
          <w:szCs w:val="28"/>
          <w:rtl/>
        </w:rPr>
        <w:t xml:space="preserve">התשע"ט – 2018, וזאת אחר שמצאנו כי אין מקום לדחות את </w:t>
      </w:r>
      <w:r>
        <w:rPr>
          <w:rFonts w:ascii="Narkisim" w:eastAsia="Calibri" w:hAnsi="Narkisim" w:cs="Narkisim"/>
          <w:sz w:val="28"/>
          <w:szCs w:val="28"/>
          <w:rtl/>
        </w:rPr>
        <w:lastRenderedPageBreak/>
        <w:t xml:space="preserve">הממצאים העובדתיים שנקבעו בפסק הדין, כי הממצאים שנקבעו בו תומכים במסקנה המשפטית וכי אין במסקנותיו של בית משפט קמא כל טעות שבחוק.  </w:t>
      </w:r>
    </w:p>
    <w:p w:rsidR="00CF025E" w:rsidRDefault="00CF025E" w:rsidP="00CF025E">
      <w:pPr>
        <w:spacing w:line="405" w:lineRule="atLeast"/>
        <w:rPr>
          <w:rFonts w:ascii="Arial" w:eastAsiaTheme="minorHAnsi" w:hAnsi="Arial" w:cs="Arial"/>
          <w:sz w:val="27"/>
          <w:szCs w:val="27"/>
          <w:rtl/>
        </w:rPr>
      </w:pPr>
    </w:p>
    <w:p w:rsidR="00CF025E" w:rsidRDefault="00CF025E" w:rsidP="00CF025E">
      <w:pPr>
        <w:spacing w:line="405" w:lineRule="atLeast"/>
        <w:rPr>
          <w:rFonts w:ascii="Arial" w:hAnsi="Arial" w:cs="Arial"/>
          <w:sz w:val="27"/>
          <w:szCs w:val="27"/>
          <w:rtl/>
        </w:rPr>
      </w:pPr>
      <w:r>
        <w:rPr>
          <w:rFonts w:ascii="Narkisim" w:eastAsia="Calibri" w:hAnsi="Narkisim" w:cs="Narkisim"/>
          <w:sz w:val="28"/>
          <w:szCs w:val="28"/>
          <w:rtl/>
        </w:rPr>
        <w:t>נסתפק</w:t>
      </w:r>
      <w:r>
        <w:rPr>
          <w:rFonts w:ascii="Narkisim" w:eastAsia="Calibri" w:hAnsi="Narkisim" w:cs="Narkisim" w:hint="cs"/>
          <w:sz w:val="28"/>
          <w:szCs w:val="28"/>
          <w:rtl/>
        </w:rPr>
        <w:t>, אפוא,</w:t>
      </w:r>
      <w:r>
        <w:rPr>
          <w:rFonts w:ascii="Narkisim" w:eastAsia="Calibri" w:hAnsi="Narkisim" w:cs="Narkisim"/>
          <w:sz w:val="28"/>
          <w:szCs w:val="28"/>
          <w:rtl/>
        </w:rPr>
        <w:t xml:space="preserve"> במספר הערות קצרות בלבד. </w:t>
      </w:r>
    </w:p>
    <w:p w:rsidR="00CF025E" w:rsidRDefault="00CF025E" w:rsidP="00CF025E">
      <w:pPr>
        <w:rPr>
          <w:rFonts w:ascii="Narkisim" w:eastAsia="Calibri" w:hAnsi="Narkisim" w:cs="Narkisim"/>
          <w:sz w:val="28"/>
          <w:szCs w:val="28"/>
          <w:rtl/>
        </w:rPr>
      </w:pPr>
    </w:p>
    <w:p w:rsidR="00CF025E" w:rsidRDefault="00CF025E" w:rsidP="00CF025E">
      <w:pPr>
        <w:pStyle w:val="Ruller4"/>
        <w:numPr>
          <w:ilvl w:val="0"/>
          <w:numId w:val="0"/>
        </w:numPr>
        <w:rPr>
          <w:rFonts w:ascii="Narkisim" w:hAnsi="Narkisim" w:cs="Narkisim"/>
          <w:sz w:val="28"/>
          <w:rtl/>
        </w:rPr>
      </w:pPr>
      <w:r>
        <w:rPr>
          <w:rFonts w:ascii="Narkisim" w:hAnsi="Narkisim" w:cs="Narkisim" w:hint="cs"/>
          <w:spacing w:val="0"/>
          <w:sz w:val="28"/>
          <w:rtl/>
        </w:rPr>
        <w:t>9</w:t>
      </w:r>
      <w:r>
        <w:rPr>
          <w:rFonts w:ascii="Narkisim" w:hAnsi="Narkisim" w:cs="Narkisim"/>
          <w:spacing w:val="0"/>
          <w:sz w:val="28"/>
          <w:rtl/>
        </w:rPr>
        <w:t xml:space="preserve">. </w:t>
      </w:r>
      <w:r>
        <w:rPr>
          <w:rFonts w:ascii="Narkisim" w:hAnsi="Narkisim" w:cs="Narkisim"/>
          <w:spacing w:val="0"/>
          <w:sz w:val="28"/>
          <w:rtl/>
        </w:rPr>
        <w:tab/>
      </w:r>
      <w:r>
        <w:rPr>
          <w:rFonts w:ascii="Narkisim" w:hAnsi="Narkisim" w:cs="Narkisim"/>
          <w:sz w:val="28"/>
          <w:rtl/>
        </w:rPr>
        <w:t xml:space="preserve">הלכת השיתוף הספציפי התפתחה בפסיקה לאחר חקיקתו של </w:t>
      </w:r>
      <w:r>
        <w:rPr>
          <w:rFonts w:ascii="Miriam" w:hAnsi="Miriam" w:cs="Miriam"/>
          <w:szCs w:val="24"/>
          <w:rtl/>
        </w:rPr>
        <w:t>חוק יחסי ממון</w:t>
      </w:r>
      <w:r>
        <w:rPr>
          <w:rFonts w:ascii="Narkisim" w:hAnsi="Narkisim" w:cs="Narkisim"/>
          <w:sz w:val="28"/>
          <w:rtl/>
        </w:rPr>
        <w:t xml:space="preserve"> </w:t>
      </w:r>
      <w:r>
        <w:rPr>
          <w:rFonts w:ascii="Miriam" w:hAnsi="Miriam" w:cs="Miriam"/>
          <w:szCs w:val="24"/>
          <w:rtl/>
        </w:rPr>
        <w:t xml:space="preserve">בין בני זוג, </w:t>
      </w:r>
      <w:r>
        <w:rPr>
          <w:rFonts w:ascii="Narkisim" w:hAnsi="Narkisim" w:cs="Narkisim"/>
          <w:sz w:val="28"/>
          <w:rtl/>
        </w:rPr>
        <w:t xml:space="preserve">תשל"ג – 1973 (להלן - </w:t>
      </w:r>
      <w:r>
        <w:rPr>
          <w:rFonts w:ascii="Miriam" w:hAnsi="Miriam" w:cs="Miriam"/>
          <w:szCs w:val="24"/>
          <w:rtl/>
        </w:rPr>
        <w:t>חוק יחסי ממון</w:t>
      </w:r>
      <w:r>
        <w:rPr>
          <w:rFonts w:ascii="Narkisim" w:hAnsi="Narkisim" w:cs="Narkisim"/>
          <w:sz w:val="28"/>
          <w:rtl/>
        </w:rPr>
        <w:t xml:space="preserve">), בו הוציא המחוקק מכלל איזון המשאבים נכסים חיצוניים שהיו לצדדים ערב הנישואין או שקיבלו במתנה או בירושה במהלך הנישואין  (סע' 5 (א) (1)  </w:t>
      </w:r>
      <w:r>
        <w:rPr>
          <w:rFonts w:ascii="Miriam" w:hAnsi="Miriam" w:cs="Miriam"/>
          <w:szCs w:val="24"/>
          <w:rtl/>
        </w:rPr>
        <w:t>לחוק יחסי ממון</w:t>
      </w:r>
      <w:r>
        <w:rPr>
          <w:rFonts w:ascii="Narkisim" w:hAnsi="Narkisim" w:cs="Narkisim"/>
          <w:sz w:val="28"/>
          <w:rtl/>
        </w:rPr>
        <w:t xml:space="preserve">. </w:t>
      </w:r>
    </w:p>
    <w:p w:rsidR="00CF025E" w:rsidRDefault="00CF025E" w:rsidP="00CF025E">
      <w:pPr>
        <w:rPr>
          <w:rFonts w:asciiTheme="minorHAnsi" w:hAnsiTheme="minorHAnsi" w:cstheme="minorBidi"/>
          <w:sz w:val="22"/>
          <w:rtl/>
        </w:rPr>
      </w:pPr>
    </w:p>
    <w:p w:rsidR="00CF025E" w:rsidRDefault="00CF025E" w:rsidP="00CF025E">
      <w:pPr>
        <w:pStyle w:val="Ruller4"/>
        <w:numPr>
          <w:ilvl w:val="0"/>
          <w:numId w:val="0"/>
        </w:numPr>
        <w:rPr>
          <w:rFonts w:ascii="Narkisim" w:hAnsi="Narkisim" w:cs="Narkisim"/>
          <w:sz w:val="28"/>
          <w:rtl/>
        </w:rPr>
      </w:pPr>
      <w:r>
        <w:rPr>
          <w:rFonts w:ascii="Narkisim" w:hAnsi="Narkisim" w:cs="Narkisim"/>
          <w:sz w:val="28"/>
          <w:rtl/>
        </w:rPr>
        <w:tab/>
        <w:t xml:space="preserve">טרם חקיקתו של </w:t>
      </w:r>
      <w:r>
        <w:rPr>
          <w:rFonts w:ascii="Miriam" w:hAnsi="Miriam" w:cs="Miriam"/>
          <w:szCs w:val="24"/>
          <w:rtl/>
        </w:rPr>
        <w:t>חוק יחסי ממון</w:t>
      </w:r>
      <w:r>
        <w:rPr>
          <w:rFonts w:ascii="Narkisim" w:hAnsi="Narkisim" w:cs="Narkisim"/>
          <w:sz w:val="28"/>
          <w:rtl/>
        </w:rPr>
        <w:t xml:space="preserve"> חלה הלכת חזקת השיתוף היא יציר הפסיקה, ועיקרה בכך, כי יש בקיומם של חיי נישואין תקינים בכדי להקים חזקה שקניינו של בן זוג אחד – הן נכסים שנצברו במהלך חיי הנישואין והן נכסים שהביא בן הזוג עמו לנישואין – ייחשב כמשותף לו ולבן או בת זוגו, גם אם הזכויות בנכס רשומות על שמו של אחד מהם בלבד. חזקת השיתוף יצרה הסדר שיתוף "קנייני </w:t>
      </w:r>
      <w:proofErr w:type="spellStart"/>
      <w:r>
        <w:rPr>
          <w:rFonts w:ascii="Narkisim" w:hAnsi="Narkisim" w:cs="Narkisim"/>
          <w:sz w:val="28"/>
          <w:rtl/>
        </w:rPr>
        <w:t>מיידי</w:t>
      </w:r>
      <w:proofErr w:type="spellEnd"/>
      <w:r>
        <w:rPr>
          <w:rFonts w:ascii="Narkisim" w:hAnsi="Narkisim" w:cs="Narkisim"/>
          <w:sz w:val="28"/>
          <w:rtl/>
        </w:rPr>
        <w:t xml:space="preserve">" זאת, בשונה מהסדר השיתוף האובליגטורי הדחוי הקבוע </w:t>
      </w:r>
      <w:r>
        <w:rPr>
          <w:rFonts w:ascii="Miriam" w:hAnsi="Miriam" w:cs="Miriam"/>
          <w:szCs w:val="24"/>
          <w:rtl/>
        </w:rPr>
        <w:t>בחוק</w:t>
      </w:r>
      <w:r>
        <w:rPr>
          <w:rFonts w:ascii="Narkisim" w:hAnsi="Narkisim" w:cs="Narkisim"/>
          <w:sz w:val="28"/>
          <w:rtl/>
        </w:rPr>
        <w:t xml:space="preserve"> </w:t>
      </w:r>
      <w:r>
        <w:rPr>
          <w:rFonts w:ascii="Miriam" w:hAnsi="Miriam" w:cs="Miriam"/>
          <w:szCs w:val="24"/>
          <w:rtl/>
        </w:rPr>
        <w:t>יחסי ממון.</w:t>
      </w:r>
      <w:r>
        <w:rPr>
          <w:rFonts w:ascii="Narkisim" w:hAnsi="Narkisim" w:cs="Narkisim"/>
          <w:sz w:val="28"/>
          <w:rtl/>
        </w:rPr>
        <w:t xml:space="preserve">  </w:t>
      </w:r>
    </w:p>
    <w:p w:rsidR="00CF025E" w:rsidRDefault="00CF025E" w:rsidP="00CF025E">
      <w:pPr>
        <w:rPr>
          <w:rtl/>
        </w:rPr>
      </w:pPr>
    </w:p>
    <w:p w:rsidR="00CF025E" w:rsidRDefault="00CF025E" w:rsidP="00CF025E">
      <w:pPr>
        <w:pStyle w:val="Ruller4"/>
        <w:numPr>
          <w:ilvl w:val="0"/>
          <w:numId w:val="0"/>
        </w:numPr>
        <w:rPr>
          <w:rFonts w:ascii="Narkisim" w:hAnsi="Narkisim" w:cs="Narkisim"/>
          <w:sz w:val="28"/>
          <w:rtl/>
        </w:rPr>
      </w:pPr>
      <w:r>
        <w:rPr>
          <w:rFonts w:ascii="Narkisim" w:hAnsi="Narkisim" w:cs="Narkisim"/>
          <w:sz w:val="28"/>
          <w:rtl/>
        </w:rPr>
        <w:tab/>
        <w:t xml:space="preserve">לאחר חקיקתו של </w:t>
      </w:r>
      <w:r>
        <w:rPr>
          <w:rFonts w:ascii="Miriam" w:hAnsi="Miriam" w:cs="Miriam"/>
          <w:szCs w:val="24"/>
          <w:rtl/>
        </w:rPr>
        <w:t>חוק יחסי ממון</w:t>
      </w:r>
      <w:r>
        <w:rPr>
          <w:rFonts w:ascii="Narkisim" w:hAnsi="Narkisim" w:cs="Narkisim"/>
          <w:sz w:val="28"/>
          <w:rtl/>
        </w:rPr>
        <w:t xml:space="preserve"> התעוררה השאלה האם הסדר איזון המשאבים הקבוע בו יכול לדור בכפיפה אחת עם חזקת השיתוף. בתחילה הובעו בעניין זה דעות שונות (וראו ע"א 1945/91</w:t>
      </w:r>
      <w:r>
        <w:rPr>
          <w:rFonts w:ascii="Miriam" w:hAnsi="Miriam" w:cs="Miriam"/>
          <w:szCs w:val="24"/>
          <w:rtl/>
        </w:rPr>
        <w:t xml:space="preserve"> </w:t>
      </w:r>
      <w:r>
        <w:rPr>
          <w:rFonts w:ascii="Miriam" w:hAnsi="Miriam" w:cs="Miriam"/>
          <w:spacing w:val="0"/>
          <w:szCs w:val="24"/>
          <w:rtl/>
        </w:rPr>
        <w:t>יעקובי נ' יעקובי</w:t>
      </w:r>
      <w:r>
        <w:rPr>
          <w:rFonts w:ascii="Narkisim" w:hAnsi="Narkisim" w:cs="Narkisim"/>
          <w:sz w:val="28"/>
          <w:rtl/>
        </w:rPr>
        <w:t xml:space="preserve"> (1992)), ואולם עד מהרה התקבעה בפסיקה עמדתה של כב' </w:t>
      </w:r>
      <w:proofErr w:type="spellStart"/>
      <w:r>
        <w:rPr>
          <w:rFonts w:ascii="Narkisim" w:hAnsi="Narkisim" w:cs="Narkisim"/>
          <w:sz w:val="28"/>
          <w:rtl/>
        </w:rPr>
        <w:t>הש</w:t>
      </w:r>
      <w:proofErr w:type="spellEnd"/>
      <w:r>
        <w:rPr>
          <w:rFonts w:ascii="Narkisim" w:hAnsi="Narkisim" w:cs="Narkisim"/>
          <w:sz w:val="28"/>
          <w:rtl/>
        </w:rPr>
        <w:t xml:space="preserve">' </w:t>
      </w:r>
      <w:r>
        <w:rPr>
          <w:rFonts w:ascii="Miriam" w:hAnsi="Miriam" w:cs="Miriam"/>
          <w:spacing w:val="0"/>
          <w:szCs w:val="24"/>
          <w:rtl/>
        </w:rPr>
        <w:t xml:space="preserve">ט' </w:t>
      </w:r>
      <w:proofErr w:type="spellStart"/>
      <w:r>
        <w:rPr>
          <w:rFonts w:ascii="Miriam" w:hAnsi="Miriam" w:cs="Miriam"/>
          <w:spacing w:val="0"/>
          <w:szCs w:val="24"/>
          <w:rtl/>
        </w:rPr>
        <w:t>שטרסברג</w:t>
      </w:r>
      <w:proofErr w:type="spellEnd"/>
      <w:r>
        <w:rPr>
          <w:rFonts w:ascii="Miriam" w:hAnsi="Miriam" w:cs="Miriam"/>
          <w:spacing w:val="0"/>
          <w:szCs w:val="24"/>
          <w:rtl/>
        </w:rPr>
        <w:t>-כהן</w:t>
      </w:r>
      <w:r>
        <w:rPr>
          <w:rFonts w:ascii="Narkisim" w:hAnsi="Narkisim" w:cs="Narkisim"/>
          <w:sz w:val="28"/>
          <w:rtl/>
        </w:rPr>
        <w:t xml:space="preserve">, לפיה יש להחיל על נכסים חיצוניים את הוראות "הדין הכללי", אשר יותאם להקשר הזוגי שבו הוא חל (ע"א 8672/00 </w:t>
      </w:r>
      <w:r>
        <w:rPr>
          <w:rFonts w:ascii="Miriam" w:hAnsi="Miriam" w:cs="Miriam"/>
          <w:spacing w:val="0"/>
          <w:szCs w:val="24"/>
          <w:rtl/>
        </w:rPr>
        <w:t>אבו-רומי נ' אבו-רומי</w:t>
      </w:r>
      <w:r>
        <w:rPr>
          <w:rFonts w:ascii="Miriam" w:hAnsi="Miriam" w:cs="Miriam"/>
          <w:szCs w:val="24"/>
          <w:rtl/>
        </w:rPr>
        <w:t>,</w:t>
      </w:r>
      <w:r>
        <w:rPr>
          <w:rFonts w:ascii="Narkisim" w:hAnsi="Narkisim" w:cs="Narkisim"/>
          <w:sz w:val="28"/>
          <w:rtl/>
        </w:rPr>
        <w:t xml:space="preserve">  (2002) (להלן - </w:t>
      </w:r>
      <w:r>
        <w:rPr>
          <w:rFonts w:ascii="Miriam" w:hAnsi="Miriam" w:cs="Miriam"/>
          <w:spacing w:val="0"/>
          <w:szCs w:val="24"/>
          <w:rtl/>
        </w:rPr>
        <w:t>עניין אבו-רומי</w:t>
      </w:r>
      <w:r>
        <w:rPr>
          <w:rFonts w:ascii="Narkisim" w:hAnsi="Narkisim" w:cs="Narkisim"/>
          <w:spacing w:val="0"/>
          <w:sz w:val="28"/>
          <w:rtl/>
        </w:rPr>
        <w:t>)</w:t>
      </w:r>
      <w:r>
        <w:rPr>
          <w:rFonts w:ascii="Narkisim" w:hAnsi="Narkisim" w:cs="Narkisim"/>
          <w:sz w:val="28"/>
          <w:rtl/>
        </w:rPr>
        <w:t xml:space="preserve">), גישה המכונה על דרך הכלל בפסיקה - "הלכת השיתוף הספציפי" שעיקרה הוא כי אין מניעה מכוח הוראת סע' 4 </w:t>
      </w:r>
      <w:r>
        <w:rPr>
          <w:rFonts w:ascii="Miriam" w:hAnsi="Miriam" w:cs="Miriam"/>
          <w:szCs w:val="24"/>
          <w:rtl/>
        </w:rPr>
        <w:t>לחוק יחסי ממון</w:t>
      </w:r>
      <w:r>
        <w:rPr>
          <w:rFonts w:ascii="Narkisim" w:hAnsi="Narkisim" w:cs="Narkisim"/>
          <w:sz w:val="28"/>
          <w:rtl/>
        </w:rPr>
        <w:t xml:space="preserve"> (ובלשונו  - "אין בכריתת הנישואין או בקיומם כשלעצמם כדי לפגוע בקניינים של בני הזוג, להקנות לאחד מהם זכויות בנכסי השני או להטיל עליו אחריות לחובות השני</w:t>
      </w:r>
      <w:r>
        <w:rPr>
          <w:rFonts w:ascii="Narkisim" w:hAnsi="Narkisim" w:cs="Narkisim"/>
          <w:sz w:val="28"/>
        </w:rPr>
        <w:t>"</w:t>
      </w:r>
      <w:r>
        <w:rPr>
          <w:rFonts w:ascii="Narkisim" w:hAnsi="Narkisim" w:cs="Narkisim"/>
          <w:sz w:val="28"/>
          <w:rtl/>
        </w:rPr>
        <w:t xml:space="preserve">) כי בן-זוג יטען מכוח דין כללי כלשהו שבידיו זכויות בנכס הרשום על שם בן-הזוג האחר ושהיה בבעלותו ערב הנישואין. וכפי שהדברים סוכמו על ידי כב' </w:t>
      </w:r>
      <w:r>
        <w:rPr>
          <w:rFonts w:ascii="Narkisim" w:hAnsi="Narkisim" w:cs="Narkisim"/>
          <w:sz w:val="28"/>
          <w:rtl/>
        </w:rPr>
        <w:lastRenderedPageBreak/>
        <w:t xml:space="preserve">הנשיאה א. חיות בעניין </w:t>
      </w:r>
      <w:proofErr w:type="spellStart"/>
      <w:r>
        <w:rPr>
          <w:rFonts w:ascii="Narkisim" w:hAnsi="Narkisim" w:cs="Narkisim"/>
          <w:sz w:val="28"/>
          <w:rtl/>
        </w:rPr>
        <w:t>דנג"ץ</w:t>
      </w:r>
      <w:proofErr w:type="spellEnd"/>
      <w:r>
        <w:rPr>
          <w:rFonts w:ascii="Narkisim" w:hAnsi="Narkisim" w:cs="Narkisim"/>
          <w:sz w:val="28"/>
          <w:rtl/>
        </w:rPr>
        <w:t xml:space="preserve">  8537/18 </w:t>
      </w:r>
      <w:r>
        <w:rPr>
          <w:rFonts w:ascii="Miriam" w:hAnsi="Miriam" w:cs="Miriam"/>
          <w:szCs w:val="24"/>
          <w:rtl/>
        </w:rPr>
        <w:t xml:space="preserve">פלונית נ' בית הדין הרבני הגדול בירושלים </w:t>
      </w:r>
      <w:r>
        <w:rPr>
          <w:rFonts w:ascii="Narkisim" w:hAnsi="Narkisim" w:cs="Narkisim"/>
          <w:sz w:val="28"/>
          <w:rtl/>
        </w:rPr>
        <w:t xml:space="preserve">(2021) (להלן: </w:t>
      </w:r>
      <w:proofErr w:type="spellStart"/>
      <w:r>
        <w:rPr>
          <w:rFonts w:ascii="Miriam" w:hAnsi="Miriam" w:cs="Miriam"/>
          <w:szCs w:val="24"/>
          <w:rtl/>
        </w:rPr>
        <w:t>דנג"ץ</w:t>
      </w:r>
      <w:proofErr w:type="spellEnd"/>
      <w:r>
        <w:rPr>
          <w:rFonts w:ascii="Miriam" w:hAnsi="Miriam" w:cs="Miriam"/>
          <w:szCs w:val="24"/>
          <w:rtl/>
        </w:rPr>
        <w:t xml:space="preserve"> הבגידה</w:t>
      </w:r>
      <w:r>
        <w:rPr>
          <w:rFonts w:ascii="Narkisim" w:hAnsi="Narkisim" w:cs="Narkisim"/>
          <w:sz w:val="28"/>
          <w:rtl/>
        </w:rPr>
        <w:t xml:space="preserve">): </w:t>
      </w:r>
    </w:p>
    <w:p w:rsidR="00CF025E" w:rsidRDefault="00CF025E" w:rsidP="00CF025E">
      <w:pPr>
        <w:rPr>
          <w:rFonts w:asciiTheme="minorHAnsi" w:hAnsiTheme="minorHAnsi" w:cstheme="minorBidi"/>
          <w:sz w:val="22"/>
        </w:rPr>
      </w:pPr>
    </w:p>
    <w:p w:rsidR="00CF025E" w:rsidRDefault="00CF025E" w:rsidP="00CF025E">
      <w:pPr>
        <w:pStyle w:val="Ruller4"/>
        <w:numPr>
          <w:ilvl w:val="0"/>
          <w:numId w:val="0"/>
        </w:numPr>
        <w:spacing w:line="240" w:lineRule="auto"/>
        <w:ind w:left="1134" w:right="1134"/>
        <w:rPr>
          <w:rFonts w:ascii="Narkisim" w:hAnsi="Narkisim" w:cs="Narkisim"/>
          <w:sz w:val="28"/>
          <w:rtl/>
        </w:rPr>
      </w:pPr>
      <w:r>
        <w:rPr>
          <w:rFonts w:ascii="Narkisim" w:hAnsi="Narkisim" w:cs="Narkisim"/>
          <w:sz w:val="28"/>
          <w:rtl/>
        </w:rPr>
        <w:t xml:space="preserve">תכליתה של הלכת השיתוף הספציפי צנועה בהרבה מזו של חזקת השיתוף: היא לא נועדה לשמש "כלל-על" של דיני המשפחה אשר חולש על נכסי בני הזוג. היא כלי משפטי המאפשר הכרה בקיומו של שיתוף בנכס ספציפי, וזאת מכוח הדין הכללי. השיתוף שנוצר מכוחה מבטא סוגי שיתוף שמוכרים בדין הכללי, על ענפיו השונים, "תוך התייחסות למערכת היחסים המיוחדת של השותפות הנובעת מחיי הנישואין, כשם שבמישורי משפט אחרים מגמשת את עצמה הפרשנות המשפטית לסיטואציות המיוחדות שבהן מיושם הדין הרלוואנטי. </w:t>
      </w:r>
    </w:p>
    <w:p w:rsidR="00CF025E" w:rsidRDefault="00CF025E" w:rsidP="00CF025E">
      <w:pPr>
        <w:pStyle w:val="Ruller4"/>
        <w:numPr>
          <w:ilvl w:val="0"/>
          <w:numId w:val="0"/>
        </w:numPr>
        <w:rPr>
          <w:rFonts w:ascii="Narkisim" w:hAnsi="Narkisim" w:cs="Narkisim"/>
          <w:sz w:val="28"/>
          <w:rtl/>
        </w:rPr>
      </w:pPr>
    </w:p>
    <w:p w:rsidR="00CF025E" w:rsidRDefault="00CF025E" w:rsidP="00CF025E">
      <w:pPr>
        <w:pStyle w:val="Ruller4"/>
        <w:numPr>
          <w:ilvl w:val="0"/>
          <w:numId w:val="0"/>
        </w:numPr>
        <w:ind w:left="142"/>
        <w:rPr>
          <w:rFonts w:ascii="Narkisim" w:hAnsi="Narkisim" w:cs="Narkisim"/>
          <w:sz w:val="28"/>
          <w:rtl/>
        </w:rPr>
      </w:pPr>
      <w:r>
        <w:rPr>
          <w:rFonts w:ascii="Narkisim" w:hAnsi="Narkisim" w:cs="Narkisim"/>
          <w:sz w:val="28"/>
          <w:rtl/>
        </w:rPr>
        <w:t>1</w:t>
      </w:r>
      <w:r>
        <w:rPr>
          <w:rFonts w:ascii="Narkisim" w:hAnsi="Narkisim" w:cs="Narkisim" w:hint="cs"/>
          <w:sz w:val="28"/>
          <w:rtl/>
        </w:rPr>
        <w:t>0</w:t>
      </w:r>
      <w:r>
        <w:rPr>
          <w:rFonts w:ascii="Narkisim" w:hAnsi="Narkisim" w:cs="Narkisim"/>
          <w:sz w:val="28"/>
          <w:rtl/>
        </w:rPr>
        <w:t>.</w:t>
      </w:r>
      <w:r>
        <w:rPr>
          <w:rFonts w:ascii="Narkisim" w:hAnsi="Narkisim" w:cs="Narkisim"/>
          <w:sz w:val="28"/>
          <w:rtl/>
        </w:rPr>
        <w:tab/>
        <w:t xml:space="preserve">בצד האמור לעיל, הובהר בפסיקה כי לא כל מערכת זוגית כוללת בהכרח שיתוף בנכסים חיצוניים, וכי יש צורך בהוכחת "דבר מה נוסף" לצורך החלתו של שיתוף. היינו, יש להוכיח קיומן של נסיבות מסוימות שהן מעבר לעצם קיומם של חיי נישואין גם אם הם ארוכים ומתנהלים על מי מנוחות. </w:t>
      </w:r>
    </w:p>
    <w:p w:rsidR="00CF025E" w:rsidRDefault="00CF025E" w:rsidP="00CF025E">
      <w:pPr>
        <w:pStyle w:val="Ruller4"/>
        <w:numPr>
          <w:ilvl w:val="0"/>
          <w:numId w:val="0"/>
        </w:numPr>
        <w:ind w:left="142"/>
        <w:rPr>
          <w:rFonts w:ascii="Narkisim" w:hAnsi="Narkisim" w:cs="Narkisim"/>
          <w:sz w:val="28"/>
          <w:rtl/>
        </w:rPr>
      </w:pPr>
    </w:p>
    <w:p w:rsidR="00CF025E" w:rsidRDefault="00CF025E" w:rsidP="00CF025E">
      <w:pPr>
        <w:pStyle w:val="Ruller4"/>
        <w:numPr>
          <w:ilvl w:val="0"/>
          <w:numId w:val="0"/>
        </w:numPr>
        <w:ind w:left="142"/>
        <w:rPr>
          <w:rFonts w:ascii="Narkisim" w:hAnsi="Narkisim" w:cs="Narkisim"/>
          <w:spacing w:val="0"/>
          <w:sz w:val="28"/>
          <w:rtl/>
        </w:rPr>
      </w:pPr>
      <w:r>
        <w:rPr>
          <w:rFonts w:ascii="Narkisim" w:hAnsi="Narkisim" w:cs="Narkisim"/>
          <w:sz w:val="28"/>
          <w:rtl/>
        </w:rPr>
        <w:tab/>
        <w:t>באשר להגדרתו, מהותו והיקפו של אותו "</w:t>
      </w:r>
      <w:r>
        <w:rPr>
          <w:rFonts w:ascii="Miriam" w:hAnsi="Miriam" w:cs="Miriam"/>
          <w:szCs w:val="24"/>
          <w:rtl/>
        </w:rPr>
        <w:t>דבר מה נוסף</w:t>
      </w:r>
      <w:r>
        <w:rPr>
          <w:rFonts w:ascii="Narkisim" w:hAnsi="Narkisim" w:cs="Narkisim"/>
          <w:sz w:val="28"/>
          <w:rtl/>
        </w:rPr>
        <w:t xml:space="preserve">" הובהר בפסיקה, כי עסקינן במבחן עובדתי התלוי בנסיבות כל מקרה ומקרה (בע"מ 4545/09 </w:t>
      </w:r>
      <w:r>
        <w:rPr>
          <w:rFonts w:ascii="Miriam" w:hAnsi="Miriam" w:cs="Miriam"/>
          <w:spacing w:val="0"/>
          <w:szCs w:val="24"/>
          <w:rtl/>
        </w:rPr>
        <w:t>פלוני נ' פלונית</w:t>
      </w:r>
      <w:r>
        <w:rPr>
          <w:rFonts w:ascii="Narkisim" w:hAnsi="Narkisim" w:cs="Narkisim"/>
          <w:sz w:val="28"/>
          <w:rtl/>
        </w:rPr>
        <w:t xml:space="preserve">, </w:t>
      </w:r>
      <w:r>
        <w:rPr>
          <w:rFonts w:ascii="Narkisim" w:hAnsi="Narkisim" w:cs="Narkisim"/>
          <w:spacing w:val="0"/>
          <w:sz w:val="28"/>
          <w:rtl/>
        </w:rPr>
        <w:t xml:space="preserve"> </w:t>
      </w:r>
      <w:r>
        <w:rPr>
          <w:rFonts w:ascii="Narkisim" w:hAnsi="Narkisim" w:cs="Narkisim"/>
          <w:sz w:val="28"/>
          <w:rtl/>
        </w:rPr>
        <w:t xml:space="preserve">פסקה 6 (2010); בג"ץ  287/16 </w:t>
      </w:r>
      <w:r>
        <w:rPr>
          <w:rFonts w:ascii="Miriam" w:hAnsi="Miriam" w:cs="Miriam"/>
          <w:spacing w:val="0"/>
          <w:szCs w:val="24"/>
          <w:rtl/>
        </w:rPr>
        <w:t>פלוני נ' בית הדין הרבני הגדול בירושלים</w:t>
      </w:r>
      <w:r>
        <w:rPr>
          <w:rFonts w:ascii="Narkisim" w:hAnsi="Narkisim" w:cs="Narkisim"/>
          <w:sz w:val="28"/>
          <w:rtl/>
        </w:rPr>
        <w:t xml:space="preserve">, </w:t>
      </w:r>
      <w:r>
        <w:rPr>
          <w:rFonts w:ascii="Narkisim" w:hAnsi="Narkisim" w:cs="Narkisim"/>
          <w:spacing w:val="0"/>
          <w:sz w:val="28"/>
          <w:rtl/>
        </w:rPr>
        <w:t xml:space="preserve"> </w:t>
      </w:r>
      <w:r>
        <w:rPr>
          <w:rFonts w:ascii="Narkisim" w:hAnsi="Narkisim" w:cs="Narkisim"/>
          <w:sz w:val="28"/>
          <w:rtl/>
        </w:rPr>
        <w:t>פסקה 14 (‏2016); ע"א 7750/10</w:t>
      </w:r>
      <w:r>
        <w:rPr>
          <w:rFonts w:ascii="Miriam" w:hAnsi="Miriam" w:cs="Miriam"/>
          <w:spacing w:val="0"/>
          <w:szCs w:val="24"/>
          <w:rtl/>
        </w:rPr>
        <w:t xml:space="preserve"> בן </w:t>
      </w:r>
      <w:proofErr w:type="spellStart"/>
      <w:r>
        <w:rPr>
          <w:rFonts w:ascii="Miriam" w:hAnsi="Miriam" w:cs="Miriam"/>
          <w:spacing w:val="0"/>
          <w:szCs w:val="24"/>
          <w:rtl/>
        </w:rPr>
        <w:t>גיאת</w:t>
      </w:r>
      <w:proofErr w:type="spellEnd"/>
      <w:r>
        <w:rPr>
          <w:rFonts w:ascii="Miriam" w:hAnsi="Miriam" w:cs="Miriam"/>
          <w:spacing w:val="0"/>
          <w:szCs w:val="24"/>
          <w:rtl/>
        </w:rPr>
        <w:t xml:space="preserve"> נ' הכשרת היישוב ביטוח בע"מ</w:t>
      </w:r>
      <w:r>
        <w:rPr>
          <w:rFonts w:ascii="Narkisim" w:hAnsi="Narkisim" w:cs="Narkisim"/>
          <w:sz w:val="28"/>
          <w:rtl/>
        </w:rPr>
        <w:t xml:space="preserve">, פסקה 13 לחוות דעתו של השופט </w:t>
      </w:r>
      <w:r>
        <w:rPr>
          <w:rFonts w:ascii="Narkisim" w:hAnsi="Narkisim" w:cs="Narkisim"/>
          <w:spacing w:val="0"/>
          <w:sz w:val="28"/>
          <w:rtl/>
        </w:rPr>
        <w:t>עמית</w:t>
      </w:r>
      <w:r>
        <w:rPr>
          <w:rFonts w:ascii="Narkisim" w:hAnsi="Narkisim" w:cs="Narkisim"/>
          <w:sz w:val="28"/>
          <w:rtl/>
        </w:rPr>
        <w:t xml:space="preserve"> (2011)). </w:t>
      </w:r>
      <w:r>
        <w:rPr>
          <w:rFonts w:ascii="Narkisim" w:hAnsi="Narkisim" w:cs="Narkisim"/>
          <w:spacing w:val="0"/>
          <w:sz w:val="28"/>
          <w:rtl/>
        </w:rPr>
        <w:t xml:space="preserve">ניתן לומר כי בעקרון הקריטריונים והמבחנים נחלקים לשתי קבוצות עיקריות, האחת מתייחסת לנכס עצמו (טיבו של הנכס, עלות ומידת ההשקעה המשותפת בו), והאחרת, לבני הזוג עצמם (האם מדובר בנישואים ראשונים, אורך הנשואים, טיב מערכת היחסים, קיומם של ילדים </w:t>
      </w:r>
      <w:proofErr w:type="spellStart"/>
      <w:r>
        <w:rPr>
          <w:rFonts w:ascii="Narkisim" w:hAnsi="Narkisim" w:cs="Narkisim"/>
          <w:spacing w:val="0"/>
          <w:sz w:val="28"/>
          <w:rtl/>
        </w:rPr>
        <w:t>וכיוצ"ב</w:t>
      </w:r>
      <w:proofErr w:type="spellEnd"/>
      <w:r>
        <w:rPr>
          <w:rFonts w:ascii="Narkisim" w:hAnsi="Narkisim" w:cs="Narkisim"/>
          <w:spacing w:val="0"/>
          <w:sz w:val="28"/>
          <w:rtl/>
        </w:rPr>
        <w:t xml:space="preserve"> וראו, כדוגמה, חוות דעתו של כב' </w:t>
      </w:r>
      <w:proofErr w:type="spellStart"/>
      <w:r>
        <w:rPr>
          <w:rFonts w:ascii="Narkisim" w:hAnsi="Narkisim" w:cs="Narkisim"/>
          <w:spacing w:val="0"/>
          <w:sz w:val="28"/>
          <w:rtl/>
        </w:rPr>
        <w:t>הש</w:t>
      </w:r>
      <w:proofErr w:type="spellEnd"/>
      <w:r>
        <w:rPr>
          <w:rFonts w:ascii="Narkisim" w:hAnsi="Narkisim" w:cs="Narkisim"/>
          <w:spacing w:val="0"/>
          <w:sz w:val="28"/>
          <w:rtl/>
        </w:rPr>
        <w:t xml:space="preserve">' עמית בעניין בע"מ 1398/11 </w:t>
      </w:r>
      <w:r>
        <w:rPr>
          <w:rFonts w:ascii="Miriam" w:hAnsi="Miriam" w:cs="Miriam"/>
          <w:spacing w:val="0"/>
          <w:szCs w:val="24"/>
          <w:rtl/>
        </w:rPr>
        <w:t xml:space="preserve">אלמונית נ' אלמוני </w:t>
      </w:r>
      <w:r>
        <w:rPr>
          <w:rFonts w:ascii="Narkisim" w:hAnsi="Narkisim" w:cs="Narkisim"/>
          <w:spacing w:val="0"/>
          <w:sz w:val="28"/>
          <w:rtl/>
        </w:rPr>
        <w:t xml:space="preserve">(2012) (להלן – </w:t>
      </w:r>
      <w:r>
        <w:rPr>
          <w:rFonts w:ascii="Miriam" w:hAnsi="Miriam" w:cs="Miriam"/>
          <w:spacing w:val="0"/>
          <w:szCs w:val="24"/>
          <w:rtl/>
        </w:rPr>
        <w:t>עניין אלמונית</w:t>
      </w:r>
      <w:r>
        <w:rPr>
          <w:rFonts w:ascii="Narkisim" w:hAnsi="Narkisim" w:cs="Narkisim"/>
          <w:spacing w:val="0"/>
          <w:sz w:val="28"/>
          <w:rtl/>
        </w:rPr>
        <w:t>)) .</w:t>
      </w:r>
    </w:p>
    <w:p w:rsidR="00CF025E" w:rsidRDefault="00CF025E" w:rsidP="00CF025E">
      <w:pPr>
        <w:pStyle w:val="a4"/>
        <w:rPr>
          <w:rFonts w:ascii="Narkisim" w:eastAsiaTheme="minorHAnsi" w:hAnsi="Narkisim" w:cs="Narkisim"/>
          <w:sz w:val="28"/>
          <w:szCs w:val="28"/>
        </w:rPr>
      </w:pPr>
    </w:p>
    <w:p w:rsidR="00CF025E" w:rsidRDefault="00CF025E" w:rsidP="00CF025E">
      <w:pPr>
        <w:pStyle w:val="a4"/>
        <w:spacing w:after="160" w:line="360" w:lineRule="auto"/>
        <w:ind w:left="0"/>
        <w:jc w:val="both"/>
        <w:rPr>
          <w:rFonts w:ascii="Narkisim" w:hAnsi="Narkisim" w:cs="Narkisim"/>
          <w:sz w:val="28"/>
          <w:szCs w:val="28"/>
          <w:rtl/>
        </w:rPr>
      </w:pPr>
      <w:r>
        <w:rPr>
          <w:rFonts w:ascii="Narkisim" w:hAnsi="Narkisim" w:cs="Narkisim"/>
          <w:sz w:val="28"/>
          <w:szCs w:val="28"/>
          <w:rtl/>
        </w:rPr>
        <w:t>1</w:t>
      </w:r>
      <w:r>
        <w:rPr>
          <w:rFonts w:ascii="Narkisim" w:hAnsi="Narkisim" w:cs="Narkisim" w:hint="cs"/>
          <w:sz w:val="28"/>
          <w:szCs w:val="28"/>
          <w:rtl/>
        </w:rPr>
        <w:t>1</w:t>
      </w:r>
      <w:r>
        <w:rPr>
          <w:rFonts w:ascii="Narkisim" w:hAnsi="Narkisim" w:cs="Narkisim"/>
          <w:sz w:val="28"/>
          <w:szCs w:val="28"/>
          <w:rtl/>
        </w:rPr>
        <w:t>.</w:t>
      </w:r>
      <w:r>
        <w:rPr>
          <w:rFonts w:ascii="Narkisim" w:hAnsi="Narkisim" w:cs="Narkisim"/>
          <w:sz w:val="28"/>
          <w:szCs w:val="28"/>
          <w:rtl/>
        </w:rPr>
        <w:tab/>
        <w:t xml:space="preserve">ביחס לנסיבות הקשורות בנכס ניתנה חשיבות רבה בפסיקה להיות הנכס הספציפי דירת המגורים של בני הזוג, מתוך תפישה לפיה דירת המגורים אינו נכס ככל הנכסים והוא מהווה גולת הכותרת של תא המשפחתי (ע"א 806/93 </w:t>
      </w:r>
      <w:r>
        <w:rPr>
          <w:rFonts w:ascii="Miriam" w:hAnsi="Miriam" w:cs="Miriam"/>
          <w:rtl/>
        </w:rPr>
        <w:t>הדרי נ' הדרי,</w:t>
      </w:r>
      <w:r>
        <w:rPr>
          <w:rFonts w:ascii="Narkisim" w:hAnsi="Narkisim" w:cs="Narkisim"/>
          <w:sz w:val="28"/>
          <w:szCs w:val="28"/>
          <w:rtl/>
        </w:rPr>
        <w:t xml:space="preserve"> (1994);  רע"א 8791/00 </w:t>
      </w:r>
      <w:r>
        <w:rPr>
          <w:rFonts w:ascii="Miriam" w:hAnsi="Miriam" w:cs="Miriam"/>
          <w:rtl/>
        </w:rPr>
        <w:t>שלם נ' טווינקו בע"מ,</w:t>
      </w:r>
      <w:r>
        <w:rPr>
          <w:rFonts w:ascii="Narkisim" w:hAnsi="Narkisim" w:cs="Narkisim"/>
          <w:sz w:val="28"/>
          <w:szCs w:val="28"/>
          <w:rtl/>
        </w:rPr>
        <w:t xml:space="preserve"> (2006); בע"מ 5939/04 - </w:t>
      </w:r>
      <w:r>
        <w:rPr>
          <w:rFonts w:ascii="Miriam" w:hAnsi="Miriam" w:cs="Miriam"/>
          <w:rtl/>
        </w:rPr>
        <w:t>פלוני נ' פלונית</w:t>
      </w:r>
      <w:r>
        <w:rPr>
          <w:rFonts w:ascii="Narkisim" w:hAnsi="Narkisim" w:cs="Narkisim"/>
          <w:sz w:val="28"/>
          <w:szCs w:val="28"/>
          <w:rtl/>
        </w:rPr>
        <w:t xml:space="preserve">, </w:t>
      </w:r>
      <w:r>
        <w:rPr>
          <w:rFonts w:ascii="Narkisim" w:hAnsi="Narkisim" w:cs="Narkisim"/>
          <w:sz w:val="28"/>
          <w:szCs w:val="28"/>
          <w:rtl/>
        </w:rPr>
        <w:lastRenderedPageBreak/>
        <w:t xml:space="preserve">(2004)). נוכח מעמדה הייחודי של דירת מגורי בני הזוג נקבע כי יש להקל במשקל הראיות החיצוניות המוכיחות את כוונת השיתוף וזאת לעומת נכסים אחרים שהובאו לנישואין על ידי אחד מבני הזוג (ראו פסקה 37 לפסק דינה של הנשיאה חיות </w:t>
      </w:r>
      <w:r>
        <w:rPr>
          <w:rFonts w:ascii="Miriam" w:hAnsi="Miriam" w:cs="Miriam"/>
          <w:rtl/>
        </w:rPr>
        <w:t>בדנג"ץ הבגידה</w:t>
      </w:r>
      <w:r>
        <w:rPr>
          <w:rFonts w:ascii="Narkisim" w:hAnsi="Narkisim" w:cs="Narkisim"/>
          <w:sz w:val="28"/>
          <w:szCs w:val="28"/>
          <w:rtl/>
        </w:rPr>
        <w:t xml:space="preserve"> וכן פסק דינו של השופט עמית </w:t>
      </w:r>
      <w:r>
        <w:rPr>
          <w:rFonts w:ascii="Miriam" w:hAnsi="Miriam" w:cs="Miriam"/>
          <w:rtl/>
        </w:rPr>
        <w:t>בעניין אלמונית</w:t>
      </w:r>
      <w:r>
        <w:rPr>
          <w:rFonts w:ascii="Narkisim" w:hAnsi="Narkisim" w:cs="Narkisim"/>
          <w:sz w:val="28"/>
          <w:szCs w:val="28"/>
          <w:rtl/>
        </w:rPr>
        <w:t>).</w:t>
      </w:r>
    </w:p>
    <w:p w:rsidR="00CF025E" w:rsidRDefault="00CF025E" w:rsidP="00CF025E">
      <w:pPr>
        <w:spacing w:line="360" w:lineRule="auto"/>
        <w:jc w:val="both"/>
        <w:rPr>
          <w:rFonts w:ascii="Narkisim" w:hAnsi="Narkisim" w:cs="Narkisim"/>
          <w:sz w:val="28"/>
          <w:szCs w:val="28"/>
          <w:rtl/>
        </w:rPr>
      </w:pPr>
      <w:r>
        <w:rPr>
          <w:rFonts w:ascii="Narkisim" w:eastAsia="Calibri" w:hAnsi="Narkisim" w:cs="Narkisim"/>
          <w:sz w:val="28"/>
          <w:szCs w:val="28"/>
          <w:rtl/>
        </w:rPr>
        <w:t>1</w:t>
      </w:r>
      <w:r>
        <w:rPr>
          <w:rFonts w:ascii="Narkisim" w:eastAsia="Calibri" w:hAnsi="Narkisim" w:cs="Narkisim" w:hint="cs"/>
          <w:sz w:val="28"/>
          <w:szCs w:val="28"/>
          <w:rtl/>
        </w:rPr>
        <w:t>2</w:t>
      </w:r>
      <w:r>
        <w:rPr>
          <w:rFonts w:ascii="Narkisim" w:eastAsia="Calibri" w:hAnsi="Narkisim" w:cs="Narkisim"/>
          <w:sz w:val="28"/>
          <w:szCs w:val="28"/>
          <w:rtl/>
        </w:rPr>
        <w:t>.</w:t>
      </w:r>
      <w:r>
        <w:rPr>
          <w:rFonts w:ascii="Narkisim" w:eastAsia="Calibri" w:hAnsi="Narkisim" w:cs="Narkisim"/>
          <w:sz w:val="28"/>
          <w:szCs w:val="28"/>
          <w:rtl/>
        </w:rPr>
        <w:tab/>
      </w:r>
      <w:r>
        <w:rPr>
          <w:rFonts w:ascii="Narkisim" w:hAnsi="Narkisim" w:cs="Narkisim"/>
          <w:sz w:val="28"/>
          <w:szCs w:val="28"/>
          <w:rtl/>
        </w:rPr>
        <w:t xml:space="preserve">בפסיקה מוצעים מבחנים רבים, שאינם מהווים רשימה סגורה, לבחינת קיומה של כוונת שיתוף ספציפית. כב' הש' עמית בעניין אלמונית מונה מבחנים רבים ובכללם – סוג הנכס, היינו - האם מדובר בדירת מגורי בני הזוג או נכס אחר, האם הדירה הובאה על ידי אחד מבני הזוג לנישואין או נרכשה על ידי אחד מבני הזוג לאחר הנישואין. האם לבן הזוג השני יש דירת מגורים או נכס חיצוני אחר שהביא עמו לנישואיו ואשר נותר רשום על שמו. אורך התקופה בה הדירה הייתה רשומה על שם אחד מבני הזוג ומספר השנים בהם התגוררו בני הזוג בדירה (ככל שהתקופה קצרה יותר נדרשת מידה רבה יותר של הוכחה לשיתוף בדירה), אורך חיי הנישואין עד לקרע או עד לגירושין (ככל שתקופת הנישואין קצרה יותר נדרשת מידה רבה יותר של הוכחה לשיתוף בדירה), האם ניטלה הלוואה בגינה נרשם משכון/משכנתא על הדירה, ואשר שולמה לאורך השנים על ידי בני הזוג במשותף, האם בוצע שיפוץ מסיבי או תוספת בניה מהותית שמומנה על ידי שני בני הזוג, התנהגות הצדדים - אווירה כללית של שיתוף ושל מאמץ משותף ונסיבות ספציפיות נוספות כגון יצירת מצג בפני בן הזוג השני. </w:t>
      </w:r>
    </w:p>
    <w:p w:rsidR="00CF025E" w:rsidRDefault="00CF025E" w:rsidP="00CF025E">
      <w:pPr>
        <w:spacing w:line="360" w:lineRule="auto"/>
        <w:jc w:val="both"/>
        <w:rPr>
          <w:rFonts w:ascii="Narkisim" w:hAnsi="Narkisim" w:cs="Narkisim"/>
          <w:sz w:val="28"/>
          <w:szCs w:val="28"/>
          <w:rtl/>
        </w:rPr>
      </w:pPr>
    </w:p>
    <w:p w:rsidR="00CF025E" w:rsidRDefault="00CF025E" w:rsidP="00CF025E">
      <w:pPr>
        <w:spacing w:line="360" w:lineRule="auto"/>
        <w:jc w:val="both"/>
        <w:rPr>
          <w:rFonts w:ascii="Narkisim" w:eastAsia="Calibri" w:hAnsi="Narkisim" w:cs="Narkisim"/>
          <w:sz w:val="28"/>
          <w:szCs w:val="28"/>
          <w:rtl/>
        </w:rPr>
      </w:pPr>
      <w:r>
        <w:rPr>
          <w:rFonts w:ascii="Narkisim" w:eastAsia="Calibri" w:hAnsi="Narkisim" w:cs="Narkisim"/>
          <w:sz w:val="28"/>
          <w:szCs w:val="28"/>
          <w:rtl/>
        </w:rPr>
        <w:t>1</w:t>
      </w:r>
      <w:r>
        <w:rPr>
          <w:rFonts w:ascii="Narkisim" w:eastAsia="Calibri" w:hAnsi="Narkisim" w:cs="Narkisim" w:hint="cs"/>
          <w:sz w:val="28"/>
          <w:szCs w:val="28"/>
          <w:rtl/>
        </w:rPr>
        <w:t>3</w:t>
      </w:r>
      <w:r>
        <w:rPr>
          <w:rFonts w:ascii="Narkisim" w:eastAsia="Calibri" w:hAnsi="Narkisim" w:cs="Narkisim"/>
          <w:sz w:val="28"/>
          <w:szCs w:val="28"/>
          <w:rtl/>
        </w:rPr>
        <w:t>.</w:t>
      </w:r>
      <w:r>
        <w:rPr>
          <w:rFonts w:ascii="Narkisim" w:eastAsia="Calibri" w:hAnsi="Narkisim" w:cs="Narkisim"/>
          <w:sz w:val="28"/>
          <w:szCs w:val="28"/>
          <w:rtl/>
        </w:rPr>
        <w:tab/>
        <w:t xml:space="preserve">בענייננו נקבעו קביעות עובדתיות רלבנטיות על ידי בית משפט קמא, שאין בדעתנו להתערב בהן. ככלות הכול - הלכה היא כי אין ערכאת הערעור נוטה להתערב בקביעות עובדות ומהימנות אלא במקרים חריגים ומובחנים שהנגדון אינו נמנה עליהם (ע"א 78/84 </w:t>
      </w:r>
      <w:r>
        <w:rPr>
          <w:rFonts w:ascii="Miriam" w:eastAsia="Calibri" w:hAnsi="Miriam" w:cs="Miriam"/>
          <w:rtl/>
        </w:rPr>
        <w:t>עיזבון המנוח חג' קאסם אחמד סווילם נ' אלג'ילאני</w:t>
      </w:r>
      <w:r>
        <w:rPr>
          <w:rFonts w:ascii="Narkisim" w:eastAsia="Calibri" w:hAnsi="Narkisim" w:cs="Narkisim"/>
          <w:sz w:val="28"/>
          <w:szCs w:val="28"/>
          <w:rtl/>
        </w:rPr>
        <w:t xml:space="preserve"> (1988); בע"א 3601/96 </w:t>
      </w:r>
      <w:r>
        <w:rPr>
          <w:rFonts w:ascii="Miriam" w:eastAsia="Calibri" w:hAnsi="Miriam" w:cs="Miriam"/>
          <w:rtl/>
        </w:rPr>
        <w:t>בראשי נ' עיזבון המנוח בראשי ז"ל</w:t>
      </w:r>
      <w:r>
        <w:rPr>
          <w:rFonts w:ascii="Narkisim" w:eastAsia="Calibri" w:hAnsi="Narkisim" w:cs="Narkisim"/>
          <w:sz w:val="28"/>
          <w:szCs w:val="28"/>
          <w:rtl/>
        </w:rPr>
        <w:t>, (1998)). בייחוד תימנע ערכאת הערעור מהתערבות כזו כאשר בית-משפט קמא "לא פטר עצמו בדברים כלליים בניתוח העובדות אלא צלל למעמקי הראיות, בחן ובדק את הדברים ביסודיות, עשה ככל האפשר לבור את האמת המזדקרת ממכלול הדברים ולתת ביטוי לחקירתו – דרישתו ובדיקתו מעל דפי פסק הדין..."</w:t>
      </w:r>
      <w:r>
        <w:rPr>
          <w:rFonts w:ascii="Narkisim" w:eastAsia="Calibri" w:hAnsi="Narkisim" w:cs="Narkisim" w:hint="cs"/>
          <w:sz w:val="28"/>
          <w:szCs w:val="28"/>
          <w:rtl/>
        </w:rPr>
        <w:t xml:space="preserve"> </w:t>
      </w:r>
      <w:r>
        <w:rPr>
          <w:rFonts w:ascii="Narkisim" w:eastAsia="Calibri" w:hAnsi="Narkisim" w:cs="Narkisim"/>
          <w:sz w:val="28"/>
          <w:szCs w:val="28"/>
          <w:rtl/>
        </w:rPr>
        <w:t xml:space="preserve">(ע"א 640/85 </w:t>
      </w:r>
      <w:r>
        <w:rPr>
          <w:rFonts w:ascii="Miriam" w:eastAsia="Calibri" w:hAnsi="Miriam" w:cs="Miriam"/>
          <w:rtl/>
        </w:rPr>
        <w:t>קופר ואח' נ' איגוד המוסכים בישראל ואח'</w:t>
      </w:r>
      <w:r>
        <w:rPr>
          <w:rFonts w:ascii="Narkisim" w:eastAsia="Calibri" w:hAnsi="Narkisim" w:cs="Narkisim"/>
          <w:sz w:val="28"/>
          <w:szCs w:val="28"/>
          <w:rtl/>
        </w:rPr>
        <w:t xml:space="preserve">, (1990)).  </w:t>
      </w:r>
    </w:p>
    <w:p w:rsidR="00CF025E" w:rsidRDefault="00CF025E" w:rsidP="00CF025E">
      <w:pPr>
        <w:spacing w:line="360" w:lineRule="auto"/>
        <w:jc w:val="both"/>
        <w:rPr>
          <w:rFonts w:ascii="Narkisim" w:eastAsiaTheme="minorHAnsi" w:hAnsi="Narkisim" w:cs="Narkisim"/>
          <w:sz w:val="28"/>
          <w:szCs w:val="28"/>
          <w:rtl/>
        </w:rPr>
      </w:pPr>
      <w:r>
        <w:rPr>
          <w:rFonts w:ascii="Narkisim" w:eastAsia="Calibri" w:hAnsi="Narkisim" w:cs="Narkisim"/>
          <w:sz w:val="28"/>
          <w:szCs w:val="28"/>
          <w:rtl/>
        </w:rPr>
        <w:lastRenderedPageBreak/>
        <w:t xml:space="preserve">על פי אותן קביעות, שקבע בית משפט קמא, </w:t>
      </w:r>
      <w:r>
        <w:rPr>
          <w:rFonts w:ascii="Narkisim" w:hAnsi="Narkisim" w:cs="Narkisim"/>
          <w:sz w:val="28"/>
          <w:szCs w:val="28"/>
          <w:rtl/>
        </w:rPr>
        <w:t>מדובר במערכת יחסים זוגית, ממושכת, בה כל אחד מבני הזוג תרם תרומה ממשית לחיי המשפחה, וכי היתה כוונה בין הצדדים לשיתוף, בין היתר בכל הנוגע לדירת המגורים. "(ש)בני הזוג יצרו מערכת שבה הייתה לכל הפחות תלות ודאגה כלכלית הדדית ובחלק מהעניינים הכלכליים לא הייתה הבחנה של ממש בין הצרכים, ההוצאות וההכנסות. מדובר על מערכת חיים בצוותא, בה נערך מאמץ משותף ואשר בו כל אחד תרם, אם מכספו, מטרחתו ומעמלו, את חלקו לקיום היחידה המשפחתית: כאמור, שני הצדדים ניהלו חיים משותפים במשך כ-15 שנים, הביאו שני ילדים משותפים, והתגוררו יחדיו". נוכח האמור קבע בית המשפט כי מדובר בנכס משותף שיש לאזנו בין בני הזוג.</w:t>
      </w:r>
    </w:p>
    <w:p w:rsidR="00CF025E" w:rsidRDefault="00CF025E" w:rsidP="00CF025E">
      <w:pPr>
        <w:spacing w:line="405" w:lineRule="atLeast"/>
        <w:jc w:val="both"/>
        <w:rPr>
          <w:rFonts w:ascii="Narkisim" w:hAnsi="Narkisim" w:cs="Narkisim"/>
          <w:sz w:val="28"/>
          <w:szCs w:val="28"/>
          <w:rtl/>
        </w:rPr>
      </w:pPr>
      <w:r>
        <w:rPr>
          <w:rFonts w:ascii="Narkisim" w:hAnsi="Narkisim" w:cs="Narkisim"/>
          <w:sz w:val="28"/>
          <w:szCs w:val="28"/>
          <w:rtl/>
        </w:rPr>
        <w:t>1</w:t>
      </w:r>
      <w:r>
        <w:rPr>
          <w:rFonts w:ascii="Narkisim" w:hAnsi="Narkisim" w:cs="Narkisim" w:hint="cs"/>
          <w:sz w:val="28"/>
          <w:szCs w:val="28"/>
          <w:rtl/>
        </w:rPr>
        <w:t>4</w:t>
      </w:r>
      <w:r>
        <w:rPr>
          <w:rFonts w:ascii="Narkisim" w:hAnsi="Narkisim" w:cs="Narkisim"/>
          <w:sz w:val="28"/>
          <w:szCs w:val="28"/>
          <w:rtl/>
        </w:rPr>
        <w:t>.</w:t>
      </w:r>
      <w:r>
        <w:rPr>
          <w:rFonts w:ascii="Narkisim" w:hAnsi="Narkisim" w:cs="Narkisim"/>
          <w:sz w:val="28"/>
          <w:szCs w:val="28"/>
          <w:rtl/>
        </w:rPr>
        <w:tab/>
        <w:t xml:space="preserve">עוד חשוב לציין, בהקשר למבחנים שנקבעו בפסיקה – שחלקם הובאו על ידי כבוד השופט עמית </w:t>
      </w:r>
      <w:r>
        <w:rPr>
          <w:rFonts w:ascii="Miriam" w:hAnsi="Miriam" w:cs="Miriam"/>
          <w:rtl/>
        </w:rPr>
        <w:t>בעניין אלמונית</w:t>
      </w:r>
      <w:r>
        <w:rPr>
          <w:rFonts w:ascii="Narkisim" w:hAnsi="Narkisim" w:cs="Narkisim"/>
          <w:sz w:val="28"/>
          <w:szCs w:val="28"/>
          <w:rtl/>
        </w:rPr>
        <w:t xml:space="preserve">: כי קיימות תמיכות לשיתוף בדירת המגורים על אף רישומה על שם המערער – כי מדובר בדירת מגורים, בה התגוררו בני הזוג עם ילדיהם, כי אין לאישה נכס אחר; כי כל השנים חיו הצדדים בשיתוף; הצדדים החליפו במהלך חיי הזוגיות מספר דירות מגורים והשביחו מגוריהם; מדובר בחיי זוגיות של כ- 14 שנים; כי הייתה אווירה כללית של שיתוף ושל מאמץ משותף ונסיבות ספציפיות נוספות כגון יצירת מצג בפני בן הזוג השני. </w:t>
      </w:r>
      <w:r>
        <w:rPr>
          <w:rFonts w:ascii="Narkisim" w:hAnsi="Narkisim" w:cs="Narkisim"/>
          <w:sz w:val="28"/>
          <w:szCs w:val="28"/>
          <w:rtl/>
        </w:rPr>
        <w:tab/>
        <w:t xml:space="preserve">נתונים אלו מלמדים, כי צדק בית משפט קמא בקובעו כי הוכח שמדובר בנכס משותף. </w:t>
      </w:r>
    </w:p>
    <w:p w:rsidR="00CF025E" w:rsidRDefault="00CF025E" w:rsidP="00CF025E">
      <w:pPr>
        <w:spacing w:line="405" w:lineRule="atLeast"/>
        <w:jc w:val="both"/>
        <w:rPr>
          <w:rFonts w:ascii="Narkisim" w:hAnsi="Narkisim" w:cs="Narkisim"/>
          <w:sz w:val="28"/>
          <w:szCs w:val="28"/>
          <w:rtl/>
        </w:rPr>
      </w:pPr>
    </w:p>
    <w:p w:rsidR="00CF025E" w:rsidRDefault="00CF025E" w:rsidP="00CF025E">
      <w:pPr>
        <w:spacing w:line="405" w:lineRule="atLeast"/>
        <w:jc w:val="both"/>
        <w:rPr>
          <w:rFonts w:ascii="Narkisim" w:hAnsi="Narkisim" w:cs="Narkisim"/>
          <w:sz w:val="28"/>
          <w:szCs w:val="28"/>
          <w:rtl/>
        </w:rPr>
      </w:pPr>
      <w:r>
        <w:rPr>
          <w:rFonts w:ascii="Narkisim" w:hAnsi="Narkisim" w:cs="Narkisim"/>
          <w:sz w:val="28"/>
          <w:szCs w:val="28"/>
          <w:rtl/>
        </w:rPr>
        <w:t>1</w:t>
      </w:r>
      <w:r>
        <w:rPr>
          <w:rFonts w:ascii="Narkisim" w:hAnsi="Narkisim" w:cs="Narkisim" w:hint="cs"/>
          <w:sz w:val="28"/>
          <w:szCs w:val="28"/>
          <w:rtl/>
        </w:rPr>
        <w:t>5</w:t>
      </w:r>
      <w:r>
        <w:rPr>
          <w:rFonts w:ascii="Narkisim" w:hAnsi="Narkisim" w:cs="Narkisim"/>
          <w:sz w:val="28"/>
          <w:szCs w:val="28"/>
          <w:rtl/>
        </w:rPr>
        <w:t>.</w:t>
      </w:r>
      <w:r>
        <w:rPr>
          <w:rFonts w:ascii="Narkisim" w:hAnsi="Narkisim" w:cs="Narkisim"/>
          <w:sz w:val="28"/>
          <w:szCs w:val="28"/>
          <w:rtl/>
        </w:rPr>
        <w:tab/>
        <w:t xml:space="preserve"> בית המשפט העליון, מפי כבוד השופטת וילנר, קבע </w:t>
      </w:r>
      <w:r w:rsidRPr="00874ECE">
        <w:rPr>
          <w:rFonts w:ascii="Miriam" w:hAnsi="Miriam" w:cs="Miriam"/>
          <w:rtl/>
        </w:rPr>
        <w:t>בעניין פלוני</w:t>
      </w:r>
      <w:r>
        <w:rPr>
          <w:rFonts w:ascii="Narkisim" w:hAnsi="Narkisim" w:cs="Narkisim"/>
          <w:sz w:val="28"/>
          <w:szCs w:val="28"/>
          <w:rtl/>
        </w:rPr>
        <w:t xml:space="preserve"> (בע"מ 1983/23 </w:t>
      </w:r>
      <w:r>
        <w:rPr>
          <w:rFonts w:ascii="Miriam" w:hAnsi="Miriam" w:cs="Miriam"/>
          <w:rtl/>
        </w:rPr>
        <w:t>פלוני נ' פלונית</w:t>
      </w:r>
      <w:r>
        <w:rPr>
          <w:rFonts w:ascii="Narkisim" w:hAnsi="Narkisim" w:cs="Narkisim"/>
          <w:b/>
          <w:bCs/>
          <w:sz w:val="28"/>
          <w:szCs w:val="28"/>
          <w:rtl/>
        </w:rPr>
        <w:t xml:space="preserve"> </w:t>
      </w:r>
      <w:r>
        <w:rPr>
          <w:rFonts w:ascii="Narkisim" w:hAnsi="Narkisim" w:cs="Narkisim"/>
          <w:sz w:val="28"/>
          <w:szCs w:val="28"/>
          <w:rtl/>
        </w:rPr>
        <w:t>(10.8.2023)), דברים היפים לענייננו, ובנסיבות דומות לשלנו – באותו עניין דובר בבני זוג, ידועים בציבור, שחיו יחדיו 15 שנים, גם להם נולדו שני ילדים. גם שם נקבע כי יש לחלק את הזכויות בדירה מחצית לכל אחד מבני הזוג "שהדירה דנן היא בגדר רכוש משותף לצדדים לפי הלכת השיתוף, היא שייכת הן למערער הן למשיבה בחלקים שווים". עוד נקבע באותו עניין:</w:t>
      </w:r>
    </w:p>
    <w:p w:rsidR="00CF025E" w:rsidRDefault="00CF025E" w:rsidP="00CF025E">
      <w:pPr>
        <w:spacing w:line="405" w:lineRule="atLeast"/>
        <w:jc w:val="both"/>
        <w:rPr>
          <w:rFonts w:ascii="Narkisim" w:hAnsi="Narkisim" w:cs="Narkisim"/>
          <w:sz w:val="28"/>
          <w:szCs w:val="28"/>
          <w:rtl/>
        </w:rPr>
      </w:pPr>
    </w:p>
    <w:p w:rsidR="00CF025E" w:rsidRDefault="00CF025E" w:rsidP="00CF025E">
      <w:pPr>
        <w:ind w:leftChars="489" w:left="1174" w:rightChars="451" w:right="1082"/>
        <w:jc w:val="both"/>
        <w:rPr>
          <w:rFonts w:ascii="Narkisim" w:eastAsiaTheme="minorHAnsi" w:hAnsi="Narkisim" w:cs="Narkisim"/>
          <w:noProof w:val="0"/>
          <w:sz w:val="28"/>
          <w:szCs w:val="28"/>
          <w:rtl/>
        </w:rPr>
      </w:pPr>
      <w:r>
        <w:rPr>
          <w:rFonts w:ascii="Narkisim" w:hAnsi="Narkisim" w:cs="Narkisim"/>
          <w:sz w:val="28"/>
          <w:szCs w:val="28"/>
          <w:rtl/>
        </w:rPr>
        <w:t>"הלכת השיתוף קובעת </w:t>
      </w:r>
      <w:r>
        <w:rPr>
          <w:rFonts w:ascii="Narkisim" w:hAnsi="Narkisim" w:cs="Narkisim"/>
          <w:b/>
          <w:bCs/>
          <w:sz w:val="28"/>
          <w:szCs w:val="28"/>
          <w:u w:val="single"/>
          <w:rtl/>
        </w:rPr>
        <w:t>חזקה</w:t>
      </w:r>
      <w:r>
        <w:rPr>
          <w:rFonts w:ascii="Narkisim" w:hAnsi="Narkisim" w:cs="Narkisim"/>
          <w:sz w:val="28"/>
          <w:szCs w:val="28"/>
          <w:rtl/>
        </w:rPr>
        <w:t> (ההדגשה במקור- הערתנו) בנוגע לבני זוג אשר חיים יחד ומקיימים משק בית משותף, שלפיה הרכוש שנצבר במהלך חייהם המשותפים הוא רכושם המשותף, אשר שייך לשניהם בחלקים שווים; בהיעדר ראיות ברורות לכך שהתגבשה ביניהם כוונה אחרת...</w:t>
      </w:r>
      <w:r>
        <w:rPr>
          <w:rFonts w:ascii="FrankRuehl" w:hAnsi="FrankRuehl" w:cs="FrankRuehl"/>
          <w:color w:val="000000"/>
          <w:spacing w:val="10"/>
          <w:sz w:val="28"/>
          <w:szCs w:val="28"/>
          <w:rtl/>
        </w:rPr>
        <w:t xml:space="preserve"> </w:t>
      </w:r>
      <w:r>
        <w:rPr>
          <w:rFonts w:ascii="Narkisim" w:hAnsi="Narkisim" w:cs="Narkisim"/>
          <w:sz w:val="28"/>
          <w:szCs w:val="28"/>
          <w:rtl/>
        </w:rPr>
        <w:t xml:space="preserve">הלכת השיתוף מבוססת בעיקרה על רציונל של "מאמץ משותף", שביסודו תפיסה שלפיה בני זוג תורמים באופן שוויוני לרווחת המשפחה, באופן שמצדיק להחיל על רכושם משטר של שיתוף </w:t>
      </w:r>
      <w:r>
        <w:rPr>
          <w:rFonts w:ascii="Narkisim" w:hAnsi="Narkisim" w:cs="Narkisim"/>
          <w:sz w:val="28"/>
          <w:szCs w:val="28"/>
          <w:rtl/>
        </w:rPr>
        <w:lastRenderedPageBreak/>
        <w:t xml:space="preserve">ולחלקו "שווה בשווה"... רציונל זה נשען על הרעיון שלפיו "גם אם פועלים בני הזוג באתרים שונים, תרומתם לתא המשפחתי, על דרך הכלל, שווה. קשר זוגי אינו נסב – ולא ראוי שייסוב – על התחשבנות בגין ה'השקעה' שהשקיע כל אחד מבני הזוג וה'תשואה' הכספית שזו הניבה" </w:t>
      </w:r>
      <w:r>
        <w:rPr>
          <w:rFonts w:ascii="Narkisim" w:hAnsi="Narkisim" w:cs="Narkisim" w:hint="cs"/>
          <w:sz w:val="28"/>
          <w:szCs w:val="28"/>
          <w:rtl/>
        </w:rPr>
        <w:t>(בע"מ  43623/04</w:t>
      </w:r>
      <w:r>
        <w:rPr>
          <w:rFonts w:ascii="Narkisim" w:hAnsi="Narkisim" w:cs="Narkisim"/>
          <w:sz w:val="28"/>
          <w:szCs w:val="28"/>
          <w:rtl/>
        </w:rPr>
        <w:t> פלוני נ' פלוני, פס' 9 לפסק דינו של המשנה לנשיאה א' ריבלין  (26.8.2007) ... הלכת השיתוף אינה מבוססת אפוא על ניסיונות לאמוד בערכים כספיים את תרומתו של כל אחד מבני הזוג לתא המשפחתי, ובכלל זה, לרכישת הנכסים ... – דוגמת גידול ילדים, ביצוע מטלות הבית ודאגה לרווחת המשפחה – הדבר נעוץ בשאיפה למנוע פנקסנות והתחשבנויות בין בני זוג, שיש בהן כדי לפגוע במרקם המשפחתי ... נקודת המוצא לדיון היא ההלכה המושרשת, שלפיה דירת המגורים המשפחתית היא "גולת הכותרת" של השיתוף, כך שלצורך הכללתה ברכוש המשותף יש לעמוד ברף ראייתי נמוך יחסית בהשוואה לנכסים אחרים...."</w:t>
      </w:r>
    </w:p>
    <w:p w:rsidR="00CF025E" w:rsidRDefault="00CF025E" w:rsidP="00CF025E">
      <w:pPr>
        <w:ind w:leftChars="489" w:left="1174" w:rightChars="451" w:right="1082"/>
        <w:jc w:val="both"/>
        <w:rPr>
          <w:rFonts w:ascii="Narkisim" w:eastAsiaTheme="minorHAnsi" w:hAnsi="Narkisim" w:cs="Narkisim"/>
          <w:noProof w:val="0"/>
          <w:sz w:val="28"/>
          <w:szCs w:val="28"/>
          <w:rtl/>
        </w:rPr>
      </w:pPr>
    </w:p>
    <w:p w:rsidR="00CF025E" w:rsidRDefault="00CF025E" w:rsidP="00CF025E">
      <w:pPr>
        <w:pStyle w:val="a4"/>
        <w:spacing w:after="160" w:line="405" w:lineRule="atLeast"/>
        <w:ind w:left="0"/>
        <w:jc w:val="both"/>
        <w:rPr>
          <w:rFonts w:ascii="Narkisim" w:hAnsi="Narkisim" w:cs="Narkisim"/>
          <w:sz w:val="28"/>
          <w:szCs w:val="28"/>
          <w:rtl/>
        </w:rPr>
      </w:pPr>
      <w:r>
        <w:rPr>
          <w:rFonts w:ascii="Narkisim" w:hAnsi="Narkisim" w:cs="Narkisim"/>
          <w:sz w:val="28"/>
          <w:szCs w:val="28"/>
          <w:rtl/>
        </w:rPr>
        <w:t>1</w:t>
      </w:r>
      <w:r>
        <w:rPr>
          <w:rFonts w:ascii="Narkisim" w:hAnsi="Narkisim" w:cs="Narkisim" w:hint="cs"/>
          <w:sz w:val="28"/>
          <w:szCs w:val="28"/>
          <w:rtl/>
        </w:rPr>
        <w:t>6</w:t>
      </w:r>
      <w:r>
        <w:rPr>
          <w:rFonts w:ascii="Narkisim" w:hAnsi="Narkisim" w:cs="Narkisim"/>
          <w:sz w:val="28"/>
          <w:szCs w:val="28"/>
          <w:rtl/>
        </w:rPr>
        <w:t>.</w:t>
      </w:r>
      <w:r>
        <w:rPr>
          <w:rFonts w:ascii="Narkisim" w:hAnsi="Narkisim" w:cs="Narkisim"/>
          <w:sz w:val="28"/>
          <w:szCs w:val="28"/>
          <w:rtl/>
        </w:rPr>
        <w:tab/>
        <w:t>אמנם בעניינם של בני הזוג - לא שופצה דירת המגורים האחרונה, אולם דירה אחרת (במעלה אדומים) שופצה על ידם, השביחה את ערכה</w:t>
      </w:r>
      <w:r>
        <w:rPr>
          <w:rFonts w:ascii="Narkisim" w:hAnsi="Narkisim" w:cs="Narkisim" w:hint="cs"/>
          <w:sz w:val="28"/>
          <w:szCs w:val="28"/>
          <w:rtl/>
        </w:rPr>
        <w:t>,</w:t>
      </w:r>
      <w:r>
        <w:rPr>
          <w:rFonts w:ascii="Narkisim" w:hAnsi="Narkisim" w:cs="Narkisim"/>
          <w:sz w:val="28"/>
          <w:szCs w:val="28"/>
          <w:rtl/>
        </w:rPr>
        <w:t xml:space="preserve"> נמכרה</w:t>
      </w:r>
      <w:r>
        <w:rPr>
          <w:rFonts w:ascii="Narkisim" w:hAnsi="Narkisim" w:cs="Narkisim" w:hint="cs"/>
          <w:sz w:val="28"/>
          <w:szCs w:val="28"/>
          <w:rtl/>
        </w:rPr>
        <w:t>,</w:t>
      </w:r>
      <w:r>
        <w:rPr>
          <w:rFonts w:ascii="Narkisim" w:hAnsi="Narkisim" w:cs="Narkisim"/>
          <w:sz w:val="28"/>
          <w:szCs w:val="28"/>
          <w:rtl/>
        </w:rPr>
        <w:t xml:space="preserve"> ו</w:t>
      </w:r>
      <w:r>
        <w:rPr>
          <w:rFonts w:ascii="Narkisim" w:hAnsi="Narkisim" w:cs="Narkisim" w:hint="cs"/>
          <w:sz w:val="28"/>
          <w:szCs w:val="28"/>
          <w:rtl/>
        </w:rPr>
        <w:t xml:space="preserve">בין השאר, </w:t>
      </w:r>
      <w:r>
        <w:rPr>
          <w:rFonts w:ascii="Narkisim" w:hAnsi="Narkisim" w:cs="Narkisim"/>
          <w:sz w:val="28"/>
          <w:szCs w:val="28"/>
          <w:rtl/>
        </w:rPr>
        <w:t xml:space="preserve">כנגד תמורתה נקנתה דירה אחרת. בנוסף, דירת המגורים נרכשה בעיר ראשון לציון, לבקשת המשיבה. הדירה נבחרה על ידי שני בני הזוג. הצדדים גרו בדירת המגורים שנים רבות עם ילדיהם. אמה של המשיבה אף היא גרה עמם בדירת המגורים. כל אלו ממלאים אחר הדרישה ל"דבר מה נוסף" ואף למעלה מכך לצורך שיתוף בדירת המגורים. </w:t>
      </w:r>
    </w:p>
    <w:p w:rsidR="00CF025E" w:rsidRDefault="00CF025E" w:rsidP="00CF025E">
      <w:pPr>
        <w:pStyle w:val="a4"/>
        <w:spacing w:after="160" w:line="405" w:lineRule="atLeast"/>
        <w:ind w:left="0"/>
        <w:jc w:val="both"/>
        <w:rPr>
          <w:rFonts w:ascii="Narkisim" w:hAnsi="Narkisim" w:cs="Narkisim"/>
          <w:sz w:val="28"/>
          <w:szCs w:val="28"/>
          <w:rtl/>
        </w:rPr>
      </w:pPr>
    </w:p>
    <w:p w:rsidR="00CF025E" w:rsidRDefault="00CF025E" w:rsidP="00CF025E">
      <w:pPr>
        <w:pStyle w:val="a4"/>
        <w:spacing w:after="160" w:line="405" w:lineRule="atLeast"/>
        <w:ind w:left="0"/>
        <w:jc w:val="both"/>
        <w:rPr>
          <w:rFonts w:ascii="Narkisim" w:hAnsi="Narkisim" w:cs="Narkisim"/>
          <w:sz w:val="28"/>
          <w:szCs w:val="28"/>
          <w:rtl/>
        </w:rPr>
      </w:pPr>
      <w:r>
        <w:rPr>
          <w:rFonts w:ascii="Narkisim" w:hAnsi="Narkisim" w:cs="Narkisim"/>
          <w:sz w:val="28"/>
          <w:szCs w:val="28"/>
          <w:rtl/>
        </w:rPr>
        <w:t>1</w:t>
      </w:r>
      <w:r>
        <w:rPr>
          <w:rFonts w:ascii="Narkisim" w:hAnsi="Narkisim" w:cs="Narkisim" w:hint="cs"/>
          <w:sz w:val="28"/>
          <w:szCs w:val="28"/>
          <w:rtl/>
        </w:rPr>
        <w:t>7</w:t>
      </w:r>
      <w:r>
        <w:rPr>
          <w:rFonts w:ascii="Narkisim" w:hAnsi="Narkisim" w:cs="Narkisim"/>
          <w:sz w:val="28"/>
          <w:szCs w:val="28"/>
          <w:rtl/>
        </w:rPr>
        <w:t>.</w:t>
      </w:r>
      <w:r>
        <w:rPr>
          <w:rFonts w:ascii="Narkisim" w:hAnsi="Narkisim" w:cs="Narkisim"/>
          <w:sz w:val="28"/>
          <w:szCs w:val="28"/>
          <w:rtl/>
        </w:rPr>
        <w:tab/>
        <w:t xml:space="preserve">מתוך כל אלו, ושאר הנימוקים המצויים בפסק דינו המקיף של בית משפט קמא, מצאנו כי אין להתערב בממצאי בית המשפט קמא שקבע כי יש לדחות את תביעתו של </w:t>
      </w:r>
      <w:r>
        <w:rPr>
          <w:rFonts w:ascii="Narkisim" w:hAnsi="Narkisim" w:cs="Narkisim" w:hint="cs"/>
          <w:sz w:val="28"/>
          <w:szCs w:val="28"/>
          <w:rtl/>
        </w:rPr>
        <w:t xml:space="preserve">המערער </w:t>
      </w:r>
      <w:r>
        <w:rPr>
          <w:rFonts w:ascii="Narkisim" w:hAnsi="Narkisim" w:cs="Narkisim"/>
          <w:sz w:val="28"/>
          <w:szCs w:val="28"/>
          <w:rtl/>
        </w:rPr>
        <w:t xml:space="preserve">לצו הצהרתי כמבוקש על ידו, ויש לקבוע כי חל שיתוף ספציפי בדירת המגורים. </w:t>
      </w:r>
    </w:p>
    <w:p w:rsidR="00CF025E" w:rsidRDefault="00CF025E" w:rsidP="00CF025E">
      <w:pPr>
        <w:pStyle w:val="a4"/>
        <w:spacing w:after="160" w:line="405" w:lineRule="atLeast"/>
        <w:ind w:left="0"/>
        <w:jc w:val="both"/>
        <w:rPr>
          <w:rFonts w:ascii="Narkisim" w:hAnsi="Narkisim" w:cs="Narkisim"/>
          <w:sz w:val="28"/>
          <w:szCs w:val="28"/>
          <w:rtl/>
        </w:rPr>
      </w:pPr>
    </w:p>
    <w:p w:rsidR="00CF025E" w:rsidRDefault="00CF025E" w:rsidP="00CF025E">
      <w:pPr>
        <w:pStyle w:val="a4"/>
        <w:spacing w:after="160" w:line="405" w:lineRule="atLeast"/>
        <w:ind w:left="0"/>
        <w:jc w:val="both"/>
        <w:rPr>
          <w:rFonts w:ascii="Narkisim" w:hAnsi="Narkisim" w:cs="Narkisim"/>
          <w:sz w:val="28"/>
          <w:szCs w:val="28"/>
          <w:rtl/>
        </w:rPr>
      </w:pPr>
      <w:r>
        <w:rPr>
          <w:rFonts w:ascii="Narkisim" w:hAnsi="Narkisim" w:cs="Narkisim"/>
          <w:sz w:val="28"/>
          <w:szCs w:val="28"/>
          <w:rtl/>
        </w:rPr>
        <w:t>1</w:t>
      </w:r>
      <w:r>
        <w:rPr>
          <w:rFonts w:ascii="Narkisim" w:hAnsi="Narkisim" w:cs="Narkisim" w:hint="cs"/>
          <w:sz w:val="28"/>
          <w:szCs w:val="28"/>
          <w:rtl/>
        </w:rPr>
        <w:t>8</w:t>
      </w:r>
      <w:r>
        <w:rPr>
          <w:rFonts w:ascii="Narkisim" w:hAnsi="Narkisim" w:cs="Narkisim"/>
          <w:sz w:val="28"/>
          <w:szCs w:val="28"/>
          <w:rtl/>
        </w:rPr>
        <w:t>.</w:t>
      </w:r>
      <w:r>
        <w:rPr>
          <w:rFonts w:ascii="Narkisim" w:hAnsi="Narkisim" w:cs="Narkisim"/>
          <w:sz w:val="28"/>
          <w:szCs w:val="28"/>
          <w:rtl/>
        </w:rPr>
        <w:tab/>
        <w:t xml:space="preserve">אשר על כן, הערעור נדחה על כל סעיפיו. </w:t>
      </w:r>
    </w:p>
    <w:p w:rsidR="00CF025E" w:rsidRDefault="00CF025E" w:rsidP="00CF025E">
      <w:pPr>
        <w:pStyle w:val="a4"/>
        <w:spacing w:after="160" w:line="405" w:lineRule="atLeast"/>
        <w:ind w:left="0"/>
        <w:jc w:val="both"/>
        <w:rPr>
          <w:rFonts w:ascii="Narkisim" w:hAnsi="Narkisim" w:cs="Narkisim"/>
          <w:sz w:val="28"/>
          <w:szCs w:val="28"/>
          <w:rtl/>
        </w:rPr>
      </w:pPr>
    </w:p>
    <w:p w:rsidR="00CF025E" w:rsidRDefault="00CF025E" w:rsidP="00CF025E">
      <w:pPr>
        <w:pStyle w:val="a4"/>
        <w:spacing w:after="160" w:line="405" w:lineRule="atLeast"/>
        <w:ind w:left="0"/>
        <w:jc w:val="both"/>
        <w:rPr>
          <w:rFonts w:ascii="Narkisim" w:hAnsi="Narkisim" w:cs="Narkisim"/>
          <w:sz w:val="28"/>
          <w:szCs w:val="28"/>
          <w:rtl/>
        </w:rPr>
      </w:pPr>
      <w:r>
        <w:rPr>
          <w:rFonts w:ascii="Narkisim" w:hAnsi="Narkisim" w:cs="Narkisim"/>
          <w:sz w:val="28"/>
          <w:szCs w:val="28"/>
          <w:rtl/>
        </w:rPr>
        <w:t xml:space="preserve">המערער ישא בהוצאות המשיבה בסך של 15,000 ₪. הערובה שהופקדה תועבר לידי המשיבה באמצעות בא כוחה על חשבון ההוצאות. </w:t>
      </w:r>
    </w:p>
    <w:p w:rsidR="00CF025E" w:rsidRDefault="00CF025E" w:rsidP="00CF025E">
      <w:pPr>
        <w:pStyle w:val="a4"/>
        <w:spacing w:after="160" w:line="405" w:lineRule="atLeast"/>
        <w:ind w:left="0"/>
        <w:jc w:val="both"/>
        <w:rPr>
          <w:rFonts w:ascii="Narkisim" w:hAnsi="Narkisim" w:cs="Narkisim"/>
          <w:sz w:val="28"/>
          <w:szCs w:val="28"/>
          <w:rtl/>
        </w:rPr>
      </w:pPr>
    </w:p>
    <w:p w:rsidR="00CF025E" w:rsidRDefault="00CF025E" w:rsidP="00CF025E">
      <w:pPr>
        <w:pStyle w:val="a4"/>
        <w:spacing w:after="160" w:line="405" w:lineRule="atLeast"/>
        <w:ind w:left="0"/>
        <w:jc w:val="both"/>
        <w:rPr>
          <w:rtl/>
        </w:rPr>
      </w:pPr>
      <w:r>
        <w:rPr>
          <w:rFonts w:ascii="Narkisim" w:hAnsi="Narkisim" w:cs="Narkisim" w:hint="cs"/>
          <w:sz w:val="28"/>
          <w:szCs w:val="28"/>
          <w:rtl/>
        </w:rPr>
        <w:lastRenderedPageBreak/>
        <w:t>19</w:t>
      </w:r>
      <w:r>
        <w:rPr>
          <w:rFonts w:ascii="Narkisim" w:hAnsi="Narkisim" w:cs="Narkisim"/>
          <w:sz w:val="28"/>
          <w:szCs w:val="28"/>
          <w:rtl/>
        </w:rPr>
        <w:t>.</w:t>
      </w:r>
      <w:r>
        <w:rPr>
          <w:rFonts w:ascii="Narkisim" w:hAnsi="Narkisim" w:cs="Narkisim"/>
          <w:sz w:val="28"/>
          <w:szCs w:val="28"/>
          <w:rtl/>
        </w:rPr>
        <w:tab/>
        <w:t xml:space="preserve">ניתן לפרסום ללא שמות הצדדים. </w:t>
      </w:r>
    </w:p>
    <w:p w:rsidR="00CF025E" w:rsidRPr="00C770E3" w:rsidRDefault="00CF025E" w:rsidP="00CF025E">
      <w:pPr>
        <w:spacing w:line="360" w:lineRule="auto"/>
        <w:jc w:val="both"/>
        <w:rPr>
          <w:rFonts w:ascii="Arial" w:hAnsi="Arial"/>
          <w:noProof w:val="0"/>
          <w:rtl/>
        </w:rPr>
      </w:pPr>
    </w:p>
    <w:p w:rsidR="00CF025E" w:rsidRDefault="00CF025E" w:rsidP="00CF025E">
      <w:pPr>
        <w:spacing w:line="360" w:lineRule="auto"/>
        <w:jc w:val="both"/>
        <w:rPr>
          <w:rFonts w:ascii="Arial" w:hAnsi="Arial"/>
          <w:noProof w:val="0"/>
          <w:rtl/>
        </w:rPr>
      </w:pPr>
      <w:r>
        <w:rPr>
          <w:rFonts w:ascii="Arial" w:hAnsi="Arial"/>
          <w:noProof w:val="0"/>
          <w:rtl/>
        </w:rPr>
        <w:t>נית</w:t>
      </w:r>
      <w:r>
        <w:rPr>
          <w:rFonts w:ascii="Arial" w:hAnsi="Arial" w:hint="cs"/>
          <w:noProof w:val="0"/>
          <w:rtl/>
        </w:rPr>
        <w:t>ן</w:t>
      </w:r>
      <w:r>
        <w:rPr>
          <w:rFonts w:ascii="Arial" w:hAnsi="Arial"/>
          <w:noProof w:val="0"/>
          <w:rtl/>
        </w:rPr>
        <w:t xml:space="preserve"> היום, </w:t>
      </w:r>
      <w:sdt>
        <w:sdtPr>
          <w:rPr>
            <w:rtl/>
          </w:rPr>
          <w:alias w:val="1455"/>
          <w:tag w:val="1455"/>
          <w:id w:val="1666048407"/>
          <w:text w:multiLine="1"/>
        </w:sdtPr>
        <w:sdtContent>
          <w:r>
            <w:rPr>
              <w:rFonts w:ascii="Arial" w:hAnsi="Arial"/>
              <w:noProof w:val="0"/>
              <w:rtl/>
            </w:rPr>
            <w:t>י' ניסן תשפ"ד</w:t>
          </w:r>
        </w:sdtContent>
      </w:sdt>
      <w:r>
        <w:rPr>
          <w:rFonts w:ascii="Arial" w:hAnsi="Arial"/>
          <w:noProof w:val="0"/>
          <w:rtl/>
        </w:rPr>
        <w:t xml:space="preserve">, </w:t>
      </w:r>
      <w:sdt>
        <w:sdtPr>
          <w:rPr>
            <w:rtl/>
          </w:rPr>
          <w:alias w:val="1456"/>
          <w:tag w:val="1456"/>
          <w:id w:val="-1186288958"/>
          <w:text w:multiLine="1"/>
        </w:sdtPr>
        <w:sdtContent>
          <w:r>
            <w:rPr>
              <w:rFonts w:ascii="Arial" w:hAnsi="Arial"/>
              <w:noProof w:val="0"/>
              <w:rtl/>
            </w:rPr>
            <w:t>18 אפריל 2024</w:t>
          </w:r>
        </w:sdtContent>
      </w:sdt>
      <w:r>
        <w:rPr>
          <w:rFonts w:ascii="Arial" w:hAnsi="Arial"/>
          <w:noProof w:val="0"/>
          <w:rtl/>
        </w:rPr>
        <w:t>, בהעדר הצדדים.</w:t>
      </w:r>
    </w:p>
    <w:p w:rsidR="00CF025E" w:rsidRDefault="00CF025E" w:rsidP="00CF025E">
      <w:pPr>
        <w:tabs>
          <w:tab w:val="left" w:pos="2553"/>
        </w:tabs>
        <w:ind w:left="5040"/>
        <w:rPr>
          <w:rtl/>
        </w:rPr>
      </w:pPr>
      <w:sdt>
        <w:sdtPr>
          <w:rPr>
            <w:rFonts w:hint="cs"/>
            <w:rtl/>
          </w:rPr>
          <w:alias w:val="2045"/>
          <w:tag w:val="2045"/>
          <w:id w:val="740689340"/>
          <w:placeholder>
            <w:docPart w:val="697BB3AD43C14CE7A5B2AB3D11C5CE02"/>
          </w:placeholder>
          <w:showingPlcHdr/>
          <w:text w:multiLine="1"/>
        </w:sdtPr>
        <w:sdtContent>
          <w:r>
            <w:rPr>
              <w:rFonts w:hint="cs"/>
              <w:rtl/>
            </w:rPr>
            <w:t xml:space="preserve">     </w:t>
          </w:r>
        </w:sdtContent>
      </w:sdt>
    </w:p>
    <w:p w:rsidR="00CF025E" w:rsidRDefault="00CF025E" w:rsidP="00CF025E">
      <w:pPr>
        <w:tabs>
          <w:tab w:val="left" w:pos="2553"/>
        </w:tabs>
        <w:rPr>
          <w:rFonts w:ascii="Arial" w:hAnsi="Arial"/>
          <w:noProof w:val="0"/>
          <w:rtl/>
        </w:rPr>
      </w:pPr>
      <w:r>
        <w:rPr>
          <w:rFonts w:ascii="Arial" w:hAnsi="Arial" w:hint="cs"/>
          <w:noProof w:val="0"/>
          <w:rtl/>
        </w:rPr>
        <w:t xml:space="preserve"> </w:t>
      </w:r>
    </w:p>
    <w:tbl>
      <w:tblPr>
        <w:tblStyle w:val="a3"/>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CF025E" w:rsidTr="00E1137C">
        <w:tc>
          <w:tcPr>
            <w:tcW w:w="2891" w:type="dxa"/>
            <w:vAlign w:val="center"/>
            <w:hideMark/>
          </w:tcPr>
          <w:p w:rsidR="00CF025E" w:rsidRDefault="00CF025E" w:rsidP="00E1137C">
            <w:pPr>
              <w:jc w:val="center"/>
              <w:rPr>
                <w:rFonts w:cs="Times New Roman"/>
                <w:noProof w:val="0"/>
              </w:rPr>
            </w:pPr>
            <w:r>
              <w:drawing>
                <wp:inline distT="0" distB="0" distL="0" distR="0" wp14:anchorId="4D30C259" wp14:editId="629CB7F5">
                  <wp:extent cx="819150" cy="409575"/>
                  <wp:effectExtent l="0" t="0" r="0" b="9525"/>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19150" cy="409575"/>
                          </a:xfrm>
                          <a:prstGeom prst="rect">
                            <a:avLst/>
                          </a:prstGeom>
                          <a:noFill/>
                          <a:ln>
                            <a:noFill/>
                          </a:ln>
                        </pic:spPr>
                      </pic:pic>
                    </a:graphicData>
                  </a:graphic>
                </wp:inline>
              </w:drawing>
            </w:r>
          </w:p>
        </w:tc>
        <w:tc>
          <w:tcPr>
            <w:tcW w:w="2891" w:type="dxa"/>
            <w:vAlign w:val="center"/>
            <w:hideMark/>
          </w:tcPr>
          <w:p w:rsidR="00CF025E" w:rsidRDefault="00CF025E" w:rsidP="00E1137C">
            <w:pPr>
              <w:jc w:val="center"/>
            </w:pPr>
            <w:r>
              <w:drawing>
                <wp:inline distT="0" distB="0" distL="0" distR="0" wp14:anchorId="314A13DD" wp14:editId="01E8C14F">
                  <wp:extent cx="900478" cy="424102"/>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06975" cy="427162"/>
                          </a:xfrm>
                          <a:prstGeom prst="rect">
                            <a:avLst/>
                          </a:prstGeom>
                          <a:noFill/>
                          <a:ln>
                            <a:noFill/>
                          </a:ln>
                        </pic:spPr>
                      </pic:pic>
                    </a:graphicData>
                  </a:graphic>
                </wp:inline>
              </w:drawing>
            </w:r>
          </w:p>
        </w:tc>
        <w:tc>
          <w:tcPr>
            <w:tcW w:w="2891" w:type="dxa"/>
            <w:vAlign w:val="center"/>
            <w:hideMark/>
          </w:tcPr>
          <w:p w:rsidR="00CF025E" w:rsidRDefault="00CF025E" w:rsidP="00E1137C">
            <w:pPr>
              <w:jc w:val="center"/>
            </w:pPr>
            <w:r>
              <w:drawing>
                <wp:inline distT="0" distB="0" distL="0" distR="0" wp14:anchorId="594C93C4" wp14:editId="69CDBC84">
                  <wp:extent cx="1030605" cy="245745"/>
                  <wp:effectExtent l="0" t="0" r="0" b="190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0605" cy="245745"/>
                          </a:xfrm>
                          <a:prstGeom prst="rect">
                            <a:avLst/>
                          </a:prstGeom>
                          <a:noFill/>
                          <a:ln>
                            <a:noFill/>
                          </a:ln>
                        </pic:spPr>
                      </pic:pic>
                    </a:graphicData>
                  </a:graphic>
                </wp:inline>
              </w:drawing>
            </w:r>
          </w:p>
        </w:tc>
      </w:tr>
      <w:tr w:rsidR="00CF025E" w:rsidTr="00E1137C">
        <w:tc>
          <w:tcPr>
            <w:tcW w:w="2891" w:type="dxa"/>
            <w:vAlign w:val="center"/>
            <w:hideMark/>
          </w:tcPr>
          <w:p w:rsidR="00CF025E" w:rsidRDefault="00CF025E" w:rsidP="00E1137C">
            <w:pPr>
              <w:spacing w:line="360" w:lineRule="auto"/>
              <w:jc w:val="center"/>
              <w:rPr>
                <w:rFonts w:ascii="David" w:hAnsi="David"/>
                <w:b/>
                <w:bCs/>
              </w:rPr>
            </w:pPr>
            <w:r>
              <w:rPr>
                <w:rFonts w:ascii="David" w:hAnsi="David" w:hint="cs"/>
                <w:b/>
                <w:bCs/>
                <w:rtl/>
              </w:rPr>
              <w:t>ורדה  פלאוט, שופטת, סגנית הנשיאה  אב"ד</w:t>
            </w:r>
          </w:p>
        </w:tc>
        <w:tc>
          <w:tcPr>
            <w:tcW w:w="2891" w:type="dxa"/>
            <w:vAlign w:val="center"/>
            <w:hideMark/>
          </w:tcPr>
          <w:p w:rsidR="00CF025E" w:rsidRDefault="00CF025E" w:rsidP="00E1137C">
            <w:pPr>
              <w:spacing w:line="360" w:lineRule="auto"/>
              <w:jc w:val="center"/>
              <w:rPr>
                <w:rFonts w:ascii="David" w:hAnsi="David"/>
                <w:b/>
                <w:bCs/>
              </w:rPr>
            </w:pPr>
            <w:r>
              <w:rPr>
                <w:rFonts w:ascii="David" w:hAnsi="David" w:hint="cs"/>
                <w:b/>
                <w:bCs/>
                <w:rtl/>
              </w:rPr>
              <w:t>צבי ויצמן, שופט</w:t>
            </w:r>
          </w:p>
        </w:tc>
        <w:tc>
          <w:tcPr>
            <w:tcW w:w="2891" w:type="dxa"/>
            <w:vAlign w:val="center"/>
            <w:hideMark/>
          </w:tcPr>
          <w:p w:rsidR="00CF025E" w:rsidRDefault="00CF025E" w:rsidP="00E1137C">
            <w:pPr>
              <w:spacing w:line="360" w:lineRule="auto"/>
              <w:jc w:val="center"/>
              <w:rPr>
                <w:rFonts w:ascii="David" w:hAnsi="David"/>
                <w:b/>
                <w:bCs/>
                <w:rtl/>
              </w:rPr>
            </w:pPr>
            <w:r>
              <w:rPr>
                <w:rFonts w:ascii="David" w:hAnsi="David" w:hint="cs"/>
                <w:b/>
                <w:bCs/>
                <w:rtl/>
              </w:rPr>
              <w:t>צבייה גרדשטיין פפקין, שופטת</w:t>
            </w:r>
          </w:p>
        </w:tc>
      </w:tr>
    </w:tbl>
    <w:p w:rsidR="00CF025E" w:rsidRDefault="00CF025E" w:rsidP="00CF025E">
      <w:pPr>
        <w:tabs>
          <w:tab w:val="left" w:pos="2553"/>
        </w:tabs>
        <w:rPr>
          <w:rFonts w:ascii="Arial" w:hAnsi="Arial"/>
          <w:noProof w:val="0"/>
          <w:rtl/>
        </w:rPr>
      </w:pPr>
    </w:p>
    <w:p w:rsidR="00A971C3" w:rsidRDefault="00A971C3"/>
    <w:sectPr w:rsidR="00A971C3" w:rsidSect="00394AB7">
      <w:headerReference w:type="default" r:id="rId10"/>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025E" w:rsidRDefault="00CF025E" w:rsidP="00CF025E">
      <w:r>
        <w:separator/>
      </w:r>
    </w:p>
  </w:endnote>
  <w:endnote w:type="continuationSeparator" w:id="0">
    <w:p w:rsidR="00CF025E" w:rsidRDefault="00CF025E" w:rsidP="00CF0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025E" w:rsidRDefault="00CF025E" w:rsidP="00CF025E">
      <w:r>
        <w:separator/>
      </w:r>
    </w:p>
  </w:footnote>
  <w:footnote w:type="continuationSeparator" w:id="0">
    <w:p w:rsidR="00CF025E" w:rsidRDefault="00CF025E" w:rsidP="00CF0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25E" w:rsidRDefault="00CF025E" w:rsidP="00CF025E">
    <w:pPr>
      <w:pStyle w:val="a5"/>
      <w:jc w:val="center"/>
      <w:rPr>
        <w:rFonts w:cs="FrankRuehl"/>
        <w:noProof w:val="0"/>
        <w:sz w:val="28"/>
        <w:szCs w:val="28"/>
        <w:rtl/>
      </w:rPr>
    </w:pPr>
    <w:r>
      <w:rPr>
        <w:rFonts w:cs="FrankRuehl"/>
        <w:sz w:val="28"/>
        <w:szCs w:val="28"/>
      </w:rPr>
      <w:drawing>
        <wp:inline distT="0" distB="0" distL="0" distR="0" wp14:anchorId="70A2A38A" wp14:editId="2A68DFA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6"/>
    </w:tblGrid>
    <w:tr w:rsidR="00CF025E" w:rsidTr="00E1137C">
      <w:trPr>
        <w:trHeight w:hRule="exact" w:val="704"/>
        <w:jc w:val="center"/>
      </w:trPr>
      <w:tc>
        <w:tcPr>
          <w:tcW w:w="8307" w:type="dxa"/>
        </w:tcPr>
        <w:p w:rsidR="00CF025E" w:rsidRDefault="00CF025E" w:rsidP="00CF025E">
          <w:pPr>
            <w:pStyle w:val="a5"/>
            <w:jc w:val="center"/>
            <w:rPr>
              <w:rFonts w:ascii="Tahoma" w:hAnsi="Tahoma"/>
              <w:noProof w:val="0"/>
              <w:color w:val="000080"/>
              <w:sz w:val="32"/>
              <w:szCs w:val="32"/>
              <w:rtl/>
            </w:rPr>
          </w:pPr>
          <w:sdt>
            <w:sdtPr>
              <w:rPr>
                <w:rFonts w:ascii="Tahoma" w:hAnsi="Tahoma"/>
                <w:color w:val="000080"/>
                <w:sz w:val="32"/>
                <w:szCs w:val="32"/>
                <w:rtl/>
              </w:rPr>
              <w:alias w:val="1174"/>
              <w:tag w:val="1174"/>
              <w:id w:val="-1585920285"/>
              <w:text w:multiLine="1"/>
            </w:sdtPr>
            <w:sdtContent>
              <w:r w:rsidRPr="00F038D8">
                <w:rPr>
                  <w:rFonts w:ascii="Tahoma" w:hAnsi="Tahoma"/>
                  <w:color w:val="000080"/>
                  <w:sz w:val="32"/>
                  <w:szCs w:val="32"/>
                  <w:rtl/>
                </w:rPr>
                <w:t>בית המשפט המחוזי מרכז-לוד</w:t>
              </w:r>
            </w:sdtContent>
          </w:sdt>
        </w:p>
        <w:p w:rsidR="00CF025E" w:rsidRPr="000D782D" w:rsidRDefault="00CF025E" w:rsidP="00CF025E">
          <w:pPr>
            <w:rPr>
              <w:rtl/>
            </w:rPr>
          </w:pPr>
        </w:p>
      </w:tc>
    </w:tr>
    <w:tr w:rsidR="00CF025E" w:rsidTr="00E1137C">
      <w:trPr>
        <w:trHeight w:val="337"/>
        <w:jc w:val="center"/>
      </w:trPr>
      <w:tc>
        <w:tcPr>
          <w:tcW w:w="8307" w:type="dxa"/>
        </w:tcPr>
        <w:p w:rsidR="00CF025E" w:rsidRPr="000D782D" w:rsidRDefault="00CF025E" w:rsidP="00CF025E">
          <w:pPr>
            <w:rPr>
              <w:b/>
              <w:bCs/>
              <w:noProof w:val="0"/>
              <w:sz w:val="26"/>
              <w:szCs w:val="26"/>
              <w:rtl/>
            </w:rPr>
          </w:pPr>
          <w:sdt>
            <w:sdtPr>
              <w:rPr>
                <w:rtl/>
              </w:rPr>
              <w:alias w:val="1170"/>
              <w:tag w:val="1170"/>
              <w:id w:val="1066377040"/>
              <w:text w:multiLine="1"/>
            </w:sdtPr>
            <w:sdtContent>
              <w:proofErr w:type="spellStart"/>
              <w:r>
                <w:rPr>
                  <w:b/>
                  <w:bCs/>
                  <w:noProof w:val="0"/>
                  <w:sz w:val="26"/>
                  <w:szCs w:val="26"/>
                  <w:rtl/>
                </w:rPr>
                <w:t>עמ"ש</w:t>
              </w:r>
              <w:proofErr w:type="spellEnd"/>
            </w:sdtContent>
          </w:sdt>
          <w:r>
            <w:rPr>
              <w:b/>
              <w:bCs/>
              <w:noProof w:val="0"/>
              <w:sz w:val="26"/>
              <w:szCs w:val="26"/>
              <w:rtl/>
            </w:rPr>
            <w:t xml:space="preserve"> </w:t>
          </w:r>
          <w:sdt>
            <w:sdtPr>
              <w:rPr>
                <w:rtl/>
              </w:rPr>
              <w:alias w:val="1171"/>
              <w:tag w:val="1171"/>
              <w:id w:val="257034231"/>
              <w:text w:multiLine="1"/>
            </w:sdtPr>
            <w:sdtContent>
              <w:r>
                <w:rPr>
                  <w:b/>
                  <w:bCs/>
                  <w:noProof w:val="0"/>
                  <w:sz w:val="26"/>
                  <w:szCs w:val="26"/>
                  <w:rtl/>
                </w:rPr>
                <w:t>14561-07-23</w:t>
              </w:r>
            </w:sdtContent>
          </w:sdt>
          <w:r>
            <w:rPr>
              <w:b/>
              <w:bCs/>
              <w:noProof w:val="0"/>
              <w:sz w:val="26"/>
              <w:szCs w:val="26"/>
              <w:rtl/>
            </w:rPr>
            <w:t xml:space="preserve"> </w:t>
          </w:r>
          <w:sdt>
            <w:sdtPr>
              <w:rPr>
                <w:b/>
                <w:bCs/>
                <w:noProof w:val="0"/>
                <w:sz w:val="26"/>
                <w:szCs w:val="26"/>
                <w:rtl/>
              </w:rPr>
              <w:alias w:val="3154"/>
              <w:tag w:val="3154"/>
              <w:id w:val="-1285889662"/>
              <w:placeholder>
                <w:docPart w:val="8983436C70404ACB97B59E2B24F437CE"/>
              </w:placeholder>
              <w:text w:multiLine="1"/>
            </w:sdtPr>
            <w:sdtContent>
              <w:r>
                <w:rPr>
                  <w:b/>
                  <w:bCs/>
                  <w:noProof w:val="0"/>
                  <w:sz w:val="26"/>
                  <w:szCs w:val="26"/>
                  <w:rtl/>
                </w:rPr>
                <w:t>פ</w:t>
              </w:r>
              <w:r>
                <w:rPr>
                  <w:rFonts w:hint="cs"/>
                  <w:b/>
                  <w:bCs/>
                  <w:noProof w:val="0"/>
                  <w:sz w:val="26"/>
                  <w:szCs w:val="26"/>
                  <w:rtl/>
                </w:rPr>
                <w:t xml:space="preserve">. </w:t>
              </w:r>
              <w:r>
                <w:rPr>
                  <w:b/>
                  <w:bCs/>
                  <w:noProof w:val="0"/>
                  <w:sz w:val="26"/>
                  <w:szCs w:val="26"/>
                  <w:rtl/>
                </w:rPr>
                <w:t>נ' ס</w:t>
              </w:r>
              <w:r>
                <w:rPr>
                  <w:rFonts w:hint="cs"/>
                  <w:b/>
                  <w:bCs/>
                  <w:noProof w:val="0"/>
                  <w:sz w:val="26"/>
                  <w:szCs w:val="26"/>
                  <w:rtl/>
                </w:rPr>
                <w:t xml:space="preserve">. </w:t>
              </w:r>
            </w:sdtContent>
          </w:sdt>
          <w:r>
            <w:rPr>
              <w:b/>
              <w:bCs/>
              <w:noProof w:val="0"/>
              <w:sz w:val="26"/>
              <w:szCs w:val="26"/>
              <w:rtl/>
            </w:rPr>
            <w:t xml:space="preserve"> </w:t>
          </w:r>
          <w:r>
            <w:rPr>
              <w:sz w:val="20"/>
              <w:szCs w:val="20"/>
              <w:rtl/>
            </w:rPr>
            <w:t xml:space="preserve"> </w:t>
          </w:r>
        </w:p>
      </w:tc>
    </w:tr>
  </w:tbl>
  <w:p w:rsidR="00CF025E" w:rsidRPr="00CF025E" w:rsidRDefault="00CF025E" w:rsidP="00CF025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D3E0B4EE"/>
    <w:lvl w:ilvl="0" w:tplc="6D0AAE36">
      <w:start w:val="1"/>
      <w:numFmt w:val="decimal"/>
      <w:pStyle w:val="Ruller4"/>
      <w:lvlText w:val="%1."/>
      <w:lvlJc w:val="left"/>
      <w:pPr>
        <w:tabs>
          <w:tab w:val="num" w:pos="907"/>
        </w:tabs>
        <w:ind w:left="0" w:firstLine="0"/>
      </w:pPr>
    </w:lvl>
    <w:lvl w:ilvl="1" w:tplc="EA788CE2">
      <w:start w:val="1"/>
      <w:numFmt w:val="lowerLetter"/>
      <w:lvlText w:val="%2."/>
      <w:lvlJc w:val="left"/>
      <w:pPr>
        <w:tabs>
          <w:tab w:val="num" w:pos="1440"/>
        </w:tabs>
        <w:ind w:left="1440" w:hanging="360"/>
      </w:pPr>
    </w:lvl>
    <w:lvl w:ilvl="2" w:tplc="4B94D084">
      <w:start w:val="1"/>
      <w:numFmt w:val="lowerRoman"/>
      <w:lvlText w:val="%3."/>
      <w:lvlJc w:val="right"/>
      <w:pPr>
        <w:tabs>
          <w:tab w:val="num" w:pos="2160"/>
        </w:tabs>
        <w:ind w:left="2160" w:hanging="180"/>
      </w:pPr>
    </w:lvl>
    <w:lvl w:ilvl="3" w:tplc="CEDA1A3A">
      <w:start w:val="1"/>
      <w:numFmt w:val="decimal"/>
      <w:lvlText w:val="%4."/>
      <w:lvlJc w:val="left"/>
      <w:pPr>
        <w:tabs>
          <w:tab w:val="num" w:pos="2880"/>
        </w:tabs>
        <w:ind w:left="2880" w:hanging="360"/>
      </w:pPr>
    </w:lvl>
    <w:lvl w:ilvl="4" w:tplc="6AFCB9AA">
      <w:start w:val="1"/>
      <w:numFmt w:val="lowerLetter"/>
      <w:lvlText w:val="%5."/>
      <w:lvlJc w:val="left"/>
      <w:pPr>
        <w:tabs>
          <w:tab w:val="num" w:pos="3600"/>
        </w:tabs>
        <w:ind w:left="3600" w:hanging="360"/>
      </w:pPr>
    </w:lvl>
    <w:lvl w:ilvl="5" w:tplc="2D9E6E62">
      <w:start w:val="1"/>
      <w:numFmt w:val="lowerRoman"/>
      <w:lvlText w:val="%6."/>
      <w:lvlJc w:val="right"/>
      <w:pPr>
        <w:tabs>
          <w:tab w:val="num" w:pos="4320"/>
        </w:tabs>
        <w:ind w:left="4320" w:hanging="180"/>
      </w:pPr>
    </w:lvl>
    <w:lvl w:ilvl="6" w:tplc="2BF8350E">
      <w:start w:val="1"/>
      <w:numFmt w:val="decimal"/>
      <w:lvlText w:val="%7."/>
      <w:lvlJc w:val="left"/>
      <w:pPr>
        <w:tabs>
          <w:tab w:val="num" w:pos="5040"/>
        </w:tabs>
        <w:ind w:left="5040" w:hanging="360"/>
      </w:pPr>
    </w:lvl>
    <w:lvl w:ilvl="7" w:tplc="DED883F6">
      <w:start w:val="1"/>
      <w:numFmt w:val="lowerLetter"/>
      <w:lvlText w:val="%8."/>
      <w:lvlJc w:val="left"/>
      <w:pPr>
        <w:tabs>
          <w:tab w:val="num" w:pos="5760"/>
        </w:tabs>
        <w:ind w:left="5760" w:hanging="360"/>
      </w:pPr>
    </w:lvl>
    <w:lvl w:ilvl="8" w:tplc="EED26D48">
      <w:start w:val="1"/>
      <w:numFmt w:val="lowerRoman"/>
      <w:lvlText w:val="%9."/>
      <w:lvlJc w:val="right"/>
      <w:pPr>
        <w:tabs>
          <w:tab w:val="num" w:pos="6480"/>
        </w:tabs>
        <w:ind w:left="6480" w:hanging="180"/>
      </w:pPr>
    </w:lvl>
  </w:abstractNum>
  <w:abstractNum w:abstractNumId="1" w15:restartNumberingAfterBreak="0">
    <w:nsid w:val="1ED80A7E"/>
    <w:multiLevelType w:val="hybridMultilevel"/>
    <w:tmpl w:val="82D0FE98"/>
    <w:lvl w:ilvl="0" w:tplc="8AD44C74">
      <w:start w:val="1"/>
      <w:numFmt w:val="hebrew1"/>
      <w:lvlText w:val="%1."/>
      <w:lvlJc w:val="left"/>
      <w:pPr>
        <w:ind w:left="420" w:hanging="360"/>
      </w:pPr>
      <w:rPr>
        <w:rFonts w:ascii="Arial" w:hAnsi="Arial" w:hint="default"/>
        <w:b/>
        <w:sz w:val="26"/>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378B1000"/>
    <w:multiLevelType w:val="hybridMultilevel"/>
    <w:tmpl w:val="8D323C92"/>
    <w:lvl w:ilvl="0" w:tplc="26889286">
      <w:start w:val="1"/>
      <w:numFmt w:val="decimal"/>
      <w:lvlText w:val="%1."/>
      <w:lvlJc w:val="left"/>
      <w:pPr>
        <w:ind w:left="862"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BA10DA"/>
    <w:multiLevelType w:val="hybridMultilevel"/>
    <w:tmpl w:val="1856ECF2"/>
    <w:lvl w:ilvl="0" w:tplc="6C0EC354">
      <w:start w:val="5"/>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025E"/>
    <w:rsid w:val="00394AB7"/>
    <w:rsid w:val="00A971C3"/>
    <w:rsid w:val="00CF025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901C72-1E4E-4400-AD7F-F077DBDA8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025E"/>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F025E"/>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F025E"/>
    <w:pPr>
      <w:ind w:left="720"/>
      <w:contextualSpacing/>
    </w:pPr>
  </w:style>
  <w:style w:type="character" w:customStyle="1" w:styleId="Ruller40">
    <w:name w:val="Ruller 4 ממוספר תו"/>
    <w:link w:val="Ruller4"/>
    <w:locked/>
    <w:rsid w:val="00CF025E"/>
    <w:rPr>
      <w:rFonts w:ascii="Garamond" w:hAnsi="Garamond" w:cs="FrankRuehl"/>
      <w:spacing w:val="10"/>
      <w:sz w:val="24"/>
      <w:szCs w:val="28"/>
    </w:rPr>
  </w:style>
  <w:style w:type="paragraph" w:customStyle="1" w:styleId="Ruller4">
    <w:name w:val="Ruller 4 ממוספר"/>
    <w:basedOn w:val="a"/>
    <w:next w:val="a"/>
    <w:link w:val="Ruller40"/>
    <w:rsid w:val="00CF025E"/>
    <w:pPr>
      <w:numPr>
        <w:numId w:val="1"/>
      </w:numPr>
      <w:tabs>
        <w:tab w:val="left" w:pos="800"/>
      </w:tabs>
      <w:overflowPunct w:val="0"/>
      <w:autoSpaceDE w:val="0"/>
      <w:autoSpaceDN w:val="0"/>
      <w:adjustRightInd w:val="0"/>
      <w:spacing w:line="360" w:lineRule="auto"/>
      <w:jc w:val="both"/>
    </w:pPr>
    <w:rPr>
      <w:rFonts w:ascii="Garamond" w:eastAsiaTheme="minorHAnsi" w:hAnsi="Garamond" w:cs="FrankRuehl"/>
      <w:noProof w:val="0"/>
      <w:spacing w:val="10"/>
      <w:szCs w:val="28"/>
    </w:rPr>
  </w:style>
  <w:style w:type="paragraph" w:styleId="a5">
    <w:name w:val="header"/>
    <w:basedOn w:val="a"/>
    <w:link w:val="a6"/>
    <w:unhideWhenUsed/>
    <w:rsid w:val="00CF025E"/>
    <w:pPr>
      <w:tabs>
        <w:tab w:val="center" w:pos="4153"/>
        <w:tab w:val="right" w:pos="8306"/>
      </w:tabs>
    </w:pPr>
  </w:style>
  <w:style w:type="character" w:customStyle="1" w:styleId="a6">
    <w:name w:val="כותרת עליונה תו"/>
    <w:basedOn w:val="a0"/>
    <w:link w:val="a5"/>
    <w:uiPriority w:val="99"/>
    <w:rsid w:val="00CF025E"/>
    <w:rPr>
      <w:rFonts w:ascii="Times New Roman" w:eastAsia="Times New Roman" w:hAnsi="Times New Roman" w:cs="David"/>
      <w:noProof/>
      <w:sz w:val="24"/>
      <w:szCs w:val="24"/>
    </w:rPr>
  </w:style>
  <w:style w:type="paragraph" w:styleId="a7">
    <w:name w:val="footer"/>
    <w:basedOn w:val="a"/>
    <w:link w:val="a8"/>
    <w:uiPriority w:val="99"/>
    <w:unhideWhenUsed/>
    <w:rsid w:val="00CF025E"/>
    <w:pPr>
      <w:tabs>
        <w:tab w:val="center" w:pos="4153"/>
        <w:tab w:val="right" w:pos="8306"/>
      </w:tabs>
    </w:pPr>
  </w:style>
  <w:style w:type="character" w:customStyle="1" w:styleId="a8">
    <w:name w:val="כותרת תחתונה תו"/>
    <w:basedOn w:val="a0"/>
    <w:link w:val="a7"/>
    <w:uiPriority w:val="99"/>
    <w:rsid w:val="00CF025E"/>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510ED5805404A92972A946DCF6A3DAD"/>
        <w:category>
          <w:name w:val="כללי"/>
          <w:gallery w:val="placeholder"/>
        </w:category>
        <w:types>
          <w:type w:val="bbPlcHdr"/>
        </w:types>
        <w:behaviors>
          <w:behavior w:val="content"/>
        </w:behaviors>
        <w:guid w:val="{894CAC3B-BFE1-4F4F-AF3C-2BE8404550B2}"/>
      </w:docPartPr>
      <w:docPartBody>
        <w:p w:rsidR="00000000" w:rsidRDefault="00074A04" w:rsidP="00074A04">
          <w:pPr>
            <w:pStyle w:val="C510ED5805404A92972A946DCF6A3DAD"/>
          </w:pPr>
          <w:r w:rsidRPr="007C2453">
            <w:rPr>
              <w:rFonts w:ascii="Arial" w:hAnsi="Arial" w:hint="eastAsia"/>
              <w:b/>
              <w:bCs/>
              <w:sz w:val="26"/>
              <w:szCs w:val="26"/>
              <w:rtl/>
            </w:rPr>
            <w:t>שם</w:t>
          </w:r>
          <w:r w:rsidRPr="007C2453">
            <w:rPr>
              <w:rFonts w:ascii="Arial" w:hAnsi="Arial"/>
              <w:b/>
              <w:bCs/>
              <w:sz w:val="26"/>
              <w:szCs w:val="26"/>
              <w:rtl/>
            </w:rPr>
            <w:t xml:space="preserve"> צד א' ללא שם של חסוי</w:t>
          </w:r>
        </w:p>
      </w:docPartBody>
    </w:docPart>
    <w:docPart>
      <w:docPartPr>
        <w:name w:val="697BB3AD43C14CE7A5B2AB3D11C5CE02"/>
        <w:category>
          <w:name w:val="כללי"/>
          <w:gallery w:val="placeholder"/>
        </w:category>
        <w:types>
          <w:type w:val="bbPlcHdr"/>
        </w:types>
        <w:behaviors>
          <w:behavior w:val="content"/>
        </w:behaviors>
        <w:guid w:val="{ED75F158-7752-4F76-A8B3-A3525B513FE5}"/>
      </w:docPartPr>
      <w:docPartBody>
        <w:p w:rsidR="00000000" w:rsidRDefault="00074A04" w:rsidP="00074A04">
          <w:pPr>
            <w:pStyle w:val="697BB3AD43C14CE7A5B2AB3D11C5CE02"/>
          </w:pPr>
          <w:r>
            <w:rPr>
              <w:rFonts w:hint="cs"/>
              <w:rtl/>
            </w:rPr>
            <w:t xml:space="preserve">     </w:t>
          </w:r>
        </w:p>
      </w:docPartBody>
    </w:docPart>
    <w:docPart>
      <w:docPartPr>
        <w:name w:val="8983436C70404ACB97B59E2B24F437CE"/>
        <w:category>
          <w:name w:val="כללי"/>
          <w:gallery w:val="placeholder"/>
        </w:category>
        <w:types>
          <w:type w:val="bbPlcHdr"/>
        </w:types>
        <w:behaviors>
          <w:behavior w:val="content"/>
        </w:behaviors>
        <w:guid w:val="{5977597F-F67D-4778-9B05-46783482FB47}"/>
      </w:docPartPr>
      <w:docPartBody>
        <w:p w:rsidR="00000000" w:rsidRDefault="00074A04" w:rsidP="00074A04">
          <w:pPr>
            <w:pStyle w:val="8983436C70404ACB97B59E2B24F437CE"/>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A04"/>
    <w:rsid w:val="00074A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510ED5805404A92972A946DCF6A3DAD">
    <w:name w:val="C510ED5805404A92972A946DCF6A3DAD"/>
    <w:rsid w:val="00074A04"/>
    <w:pPr>
      <w:bidi/>
    </w:pPr>
  </w:style>
  <w:style w:type="paragraph" w:customStyle="1" w:styleId="697BB3AD43C14CE7A5B2AB3D11C5CE02">
    <w:name w:val="697BB3AD43C14CE7A5B2AB3D11C5CE02"/>
    <w:rsid w:val="00074A04"/>
    <w:pPr>
      <w:bidi/>
    </w:pPr>
  </w:style>
  <w:style w:type="paragraph" w:customStyle="1" w:styleId="8983436C70404ACB97B59E2B24F437CE">
    <w:name w:val="8983436C70404ACB97B59E2B24F437CE"/>
    <w:rsid w:val="00074A04"/>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2532</Words>
  <Characters>12665</Characters>
  <Application>Microsoft Office Word</Application>
  <DocSecurity>0</DocSecurity>
  <Lines>105</Lines>
  <Paragraphs>30</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15167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צבי ויצמן</dc:creator>
  <cp:keywords/>
  <dc:description/>
  <cp:lastModifiedBy>צבי ויצמן</cp:lastModifiedBy>
  <cp:revision>1</cp:revision>
  <dcterms:created xsi:type="dcterms:W3CDTF">2024-05-13T05:49:00Z</dcterms:created>
  <dcterms:modified xsi:type="dcterms:W3CDTF">2024-05-13T05:51:00Z</dcterms:modified>
</cp:coreProperties>
</file>